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ind w:end="46"/>
        <w:jc w:val="center"/>
        <w:rPr>
          <w:rFonts w:ascii="Times New Roman" w:hAnsi="Times New Roman"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Извещение о проведении электронного аукциона</w:t>
      </w:r>
    </w:p>
    <w:p>
      <w:pPr>
        <w:pStyle w:val="Normal"/>
        <w:widowControl/>
        <w:bidi w:val="0"/>
        <w:ind w:end="46"/>
        <w:jc w:val="center"/>
        <w:rPr>
          <w:rFonts w:ascii="Times New Roman" w:hAnsi="Times New Roman"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на право заключения договоров аренды земельных участков</w:t>
      </w:r>
    </w:p>
    <w:p>
      <w:pPr>
        <w:pStyle w:val="Normal"/>
        <w:widowControl/>
        <w:bidi w:val="0"/>
        <w:ind w:end="46"/>
        <w:jc w:val="center"/>
        <w:rPr>
          <w:rFonts w:ascii="Times New Roman" w:hAnsi="Times New Roman" w:eastAsia="Times New Roman" w:cs="Times New Roman"/>
          <w:b/>
          <w:sz w:val="22"/>
          <w:szCs w:val="22"/>
          <w:lang w:bidi="ar-SA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bidi="ar-SA"/>
        </w:rPr>
      </w:r>
    </w:p>
    <w:p>
      <w:pPr>
        <w:pStyle w:val="Normal"/>
        <w:keepNext w:val="true"/>
        <w:widowControl/>
        <w:numPr>
          <w:ilvl w:val="0"/>
          <w:numId w:val="0"/>
        </w:numPr>
        <w:shd w:val="clear" w:color="auto" w:fill="FFFFFF"/>
        <w:bidi w:val="0"/>
        <w:spacing w:lineRule="atLeast" w:line="242" w:before="0" w:after="144"/>
        <w:ind w:firstLine="426" w:start="0"/>
        <w:jc w:val="both"/>
        <w:outlineLvl w:val="0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eastAsia="Calibri" w:cs="Times New Roman" w:ascii="Times New Roman" w:hAnsi="Times New Roman"/>
          <w:bCs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>Федеральным законом от 26.07.2006 № 135-ФЗ "О защите конкуренции",</w:t>
      </w:r>
      <w:r>
        <w:rPr>
          <w:rFonts w:eastAsia="Times New Roman" w:cs="Times New Roman" w:ascii="Times New Roman" w:hAnsi="Times New Roman"/>
          <w:bCs/>
          <w:color w:val="333333"/>
          <w:sz w:val="28"/>
          <w:szCs w:val="28"/>
          <w:lang w:bidi="ar-SA"/>
        </w:rPr>
        <w:t xml:space="preserve">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>руководствуяс</w:t>
      </w:r>
      <w:r>
        <w:rPr>
          <w:rFonts w:eastAsia="Times New Roman" w:cs="Times New Roman" w:ascii="Times New Roman" w:hAnsi="Times New Roman"/>
          <w:bCs/>
          <w:color w:val="333333"/>
          <w:sz w:val="28"/>
          <w:szCs w:val="28"/>
          <w:lang w:bidi="ar-SA"/>
        </w:rPr>
        <w:t xml:space="preserve">ь 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Уставом Питерского муниципального района, 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 xml:space="preserve">распоряжением администрации Питерского муниципального района Саратовской области от                   </w:t>
      </w:r>
      <w:r>
        <w:rPr>
          <w:rFonts w:eastAsia="Times New Roman" w:cs="Times New Roman" w:ascii="Times New Roman" w:hAnsi="Times New Roman"/>
          <w:bCs/>
          <w:sz w:val="28"/>
          <w:szCs w:val="28"/>
          <w:shd w:fill="auto" w:val="clear"/>
          <w:lang w:bidi="ar-SA"/>
        </w:rPr>
        <w:t>12 января 2024 г. № 6-р «</w:t>
      </w:r>
      <w:r>
        <w:rPr>
          <w:rFonts w:eastAsia="Times New Roman" w:cs="Times New Roman" w:ascii="Times New Roman" w:hAnsi="Times New Roman"/>
          <w:bCs/>
          <w:sz w:val="28"/>
          <w:szCs w:val="28"/>
          <w:lang w:bidi="ar-SA"/>
        </w:rPr>
        <w:t>О проведении электронного аукциона на право заключения договоров аренды земельных участков»,</w:t>
      </w:r>
      <w:r>
        <w:rPr>
          <w:rFonts w:eastAsia="Times New Roman" w:cs="Times New Roman" w:ascii="Times New Roman" w:hAnsi="Times New Roman"/>
          <w:bCs/>
          <w:color w:val="auto"/>
          <w:sz w:val="28"/>
          <w:szCs w:val="28"/>
          <w:lang w:bidi="ar-SA"/>
        </w:rPr>
        <w:t xml:space="preserve"> объявляет о проведении электронного аукциона на право заключения договоров аренды земельных участков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shd w:fill="auto" w:val="clear"/>
          <w:lang w:bidi="ar-SA"/>
        </w:rPr>
        <w:t>20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u w:val="single"/>
          <w:shd w:fill="auto" w:val="clear"/>
          <w:lang w:bidi="ar-SA"/>
        </w:rPr>
        <w:t>.02.2024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shd w:fill="auto" w:val="clear"/>
          <w:lang w:bidi="ar-SA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u w:val="single"/>
          <w:shd w:fill="auto" w:val="clear"/>
          <w:lang w:bidi="ar-SA"/>
        </w:rPr>
        <w:t>года:</w:t>
      </w:r>
    </w:p>
    <w:tbl>
      <w:tblPr>
        <w:tblW w:w="9356" w:type="dxa"/>
        <w:jc w:val="start"/>
        <w:tblInd w:w="-14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20"/>
        <w:gridCol w:w="4535"/>
      </w:tblGrid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Организатор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2"/>
                <w:szCs w:val="22"/>
                <w:shd w:fill="auto" w:val="clear"/>
                <w:lang w:bidi="ar-SA"/>
              </w:rPr>
              <w:t>Администрация Питерского муниципального района Саратовской области.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shd w:fill="auto" w:val="clear"/>
                <w:lang w:bidi="ar-SA"/>
              </w:rPr>
              <w:t>Распоряжение администрации Питерского муниципального района от 12 января 2024 года № 6-р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Место, дата, время проведения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jc w:val="start"/>
              <w:rPr/>
            </w:pPr>
            <w:r>
              <w:rPr>
                <w:rFonts w:eastAsia="Calibri" w:cs="Times New Roman" w:ascii="Times New Roman" w:hAnsi="Times New Roman"/>
                <w:color w:val="000000"/>
                <w:sz w:val="22"/>
                <w:szCs w:val="22"/>
                <w:shd w:fill="auto" w:val="clear"/>
                <w:lang w:eastAsia="en-US" w:bidi="ar-SA"/>
              </w:rPr>
              <w:t>20 февраля 2024 г. в 11 часов 00 минут (по московскому времени) на электронной площадке Сбербанк-АСТ</w:t>
            </w:r>
            <w:r>
              <w:rPr>
                <w:rFonts w:eastAsia="Calibri" w:cs="Times New Roman" w:ascii="Calibri" w:hAnsi="Calibri"/>
                <w:color w:val="000000"/>
                <w:sz w:val="22"/>
                <w:szCs w:val="22"/>
                <w:shd w:fill="auto" w:val="clear"/>
                <w:lang w:eastAsia="en-US" w:bidi="ar-SA"/>
              </w:rPr>
              <w:t xml:space="preserve"> (</w:t>
            </w:r>
            <w:hyperlink r:id="rId2">
              <w:r>
                <w:rPr>
                  <w:rFonts w:eastAsia="Calibri" w:cs="Times New Roman" w:ascii="Times New Roman" w:hAnsi="Times New Roman"/>
                  <w:color w:val="0000FF"/>
                  <w:sz w:val="22"/>
                  <w:szCs w:val="22"/>
                  <w:u w:val="single"/>
                  <w:shd w:fill="auto" w:val="clear"/>
                  <w:lang w:eastAsia="en-US" w:bidi="ar-SA"/>
                </w:rPr>
                <w:t>http://www.sberbank-ast.ru</w:t>
              </w:r>
            </w:hyperlink>
            <w:r>
              <w:rPr>
                <w:rFonts w:eastAsia="Calibri" w:cs="Times New Roman" w:ascii="Calibri" w:hAnsi="Calibri"/>
                <w:color w:val="000000"/>
                <w:sz w:val="22"/>
                <w:szCs w:val="22"/>
                <w:shd w:fill="auto" w:val="clear"/>
                <w:lang w:eastAsia="en-US" w:bidi="ar-SA"/>
              </w:rPr>
              <w:t>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bidi w:val="0"/>
              <w:ind w:start="34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shd w:fill="FFFFFF" w:val="clear"/>
                <w:lang w:bidi="ar-SA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  <w:lang w:eastAsia="en-US" w:bidi="ar-SA"/>
              </w:rPr>
              <w:t>Лот № 1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8"/>
                <w:szCs w:val="28"/>
                <w:lang w:bidi="ar-SA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земельный участок из земель, государственная собственность на которые не разграничена,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категория земель населенных пунктов, вид разрешенного использования: животноводство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с кадастровым номером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64:26:110802:225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общей площадью 4200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квадратных метров, расположенный по адресу: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Саратовская область, Питерский район, с. Малый Узень, 50 метров юго-восточнее ул. Вокзальная, 48А. С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рок аренды – 5 лет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.</w:t>
            </w:r>
          </w:p>
          <w:p>
            <w:pPr>
              <w:pStyle w:val="Normal"/>
              <w:widowControl/>
              <w:bidi w:val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>
            <w:pPr>
              <w:pStyle w:val="Normal"/>
              <w:widowControl/>
              <w:shd w:val="clear" w:color="auto" w:fill="FFFFFF"/>
              <w:bidi w:val="0"/>
              <w:ind w:start="34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shd w:fill="FFFFFF" w:val="clear"/>
                <w:lang w:bidi="ar-SA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sz w:val="22"/>
                <w:szCs w:val="22"/>
                <w:lang w:eastAsia="en-US" w:bidi="ar-SA"/>
              </w:rPr>
              <w:t>Лот № 2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земельный участок из земель, государственная собственность на которые не разграничена,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категория земель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населенных пунктов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вид разрешенного использования: для ведения личного подсобного хозяйства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с кадастровым номером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64:26:110804:276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общей площадью 2022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квадратных метра, расположенный по адресу: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Саратовская область, Питерский район, с. Малый Узень, ул. Вокзальная, 24А. С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рок аренды – 20 лет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.</w:t>
            </w:r>
          </w:p>
          <w:p>
            <w:pPr>
              <w:pStyle w:val="Normal"/>
              <w:widowControl/>
              <w:bidi w:val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>
            <w:pPr>
              <w:pStyle w:val="Normal"/>
              <w:widowControl/>
              <w:shd w:val="clear" w:color="auto" w:fill="FFFFFF"/>
              <w:bidi w:val="0"/>
              <w:ind w:start="34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shd w:fill="FFFFFF" w:val="clear"/>
                <w:lang w:bidi="ar-SA"/>
              </w:rPr>
            </w:pPr>
            <w:r>
              <w:rPr>
                <w:rFonts w:eastAsia="Calibri" w:cs="Times New Roman" w:ascii="Times New Roman" w:hAnsi="Times New Roman"/>
                <w:b/>
                <w:sz w:val="22"/>
                <w:szCs w:val="22"/>
                <w:lang w:eastAsia="en-US" w:bidi="ar-SA"/>
              </w:rPr>
              <w:t>Лот № 3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земельный участок из земель, государственная собственность на которые не разграничена,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категория земель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населенных пунктов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вид разрешенного использования: для ведения личного подсобного хозяйства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с кадастровым номером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64:26:080745:328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, общей площадью 251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FFFFF" w:val="clear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квадратный метр, расположенный по адресу: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Саратовская область, Питерский муниципальный район, с. Питерка, ул. им. Ленина, з/у 22Б. С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рок аренды – 20 лет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shd w:fill="F8F9FA" w:val="clear"/>
                <w:lang w:bidi="ar-SA"/>
              </w:rPr>
              <w:t>.</w:t>
            </w:r>
          </w:p>
          <w:p>
            <w:pPr>
              <w:pStyle w:val="Normal"/>
              <w:widowControl/>
              <w:bidi w:val="0"/>
              <w:jc w:val="both"/>
              <w:rPr>
                <w:rFonts w:ascii="Times New Roman" w:hAnsi="Times New Roman" w:eastAsia="Calibri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Начальная цена ежегодного размера арендной платы за земельные участки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>Лот № 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2520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(две тысячи пятьсот двадцать) рублей 00 копеек;</w:t>
            </w:r>
          </w:p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 xml:space="preserve">Лот № 2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  <w:lang w:bidi="ar-SA"/>
              </w:rPr>
              <w:t>3844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(три тысячи восемьсот сорок четыре) рубля 03 копейки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;</w:t>
            </w:r>
          </w:p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eastAsia="en-US" w:bidi="ar-SA"/>
              </w:rPr>
              <w:t xml:space="preserve">Лот № 3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  <w:lang w:eastAsia="en-US" w:bidi="ar-SA"/>
              </w:rPr>
              <w:t>523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en-US" w:bidi="ar-SA"/>
              </w:rPr>
              <w:t>(пятьсот двадцать три) рубля 98 копеек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Шаг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3% от начальной цены ежегодной арендной платы: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>Лот № 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75 (семьдесят пять) рублей 60 копеек;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>Лот № 2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115 (сто пятнадцать) рублей 32 копейки;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>Лот № 3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15 (пятнадцать) рублей 72 копейки.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Порядок, место, дата и время начала и окончания приема заявок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Заявка на участие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3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). Одно лицо имеет право подать только одну заявку.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Заявки принимаются с 09.00 часов 18 января 2024 года до 16.00 часов 16 февраля 2024 года (по московскому времени).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Размер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tabs>
                <w:tab w:val="clear" w:pos="709"/>
                <w:tab w:val="left" w:pos="993" w:leader="none"/>
              </w:tabs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100% начальной ежегодной арендной платы:</w:t>
            </w:r>
          </w:p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bidi="ar-SA"/>
              </w:rPr>
              <w:t>Лот № 1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2520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 xml:space="preserve"> (две тысячи пятьсот двадцать) рублей 00 копеек;</w:t>
            </w:r>
          </w:p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eastAsia="en-US" w:bidi="ar-SA"/>
              </w:rPr>
              <w:t xml:space="preserve">Лот № 2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  <w:lang w:eastAsia="en-US" w:bidi="ar-SA"/>
              </w:rPr>
              <w:t>3844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en-US" w:bidi="ar-SA"/>
              </w:rPr>
              <w:t>(три тысячи восемьсот сорок четыре) рубля 03 копейки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;</w:t>
            </w:r>
          </w:p>
          <w:p>
            <w:pPr>
              <w:pStyle w:val="Normal"/>
              <w:widowControl/>
              <w:shd w:val="clear" w:color="auto" w:fill="FFFFFF"/>
              <w:bidi w:val="0"/>
              <w:ind w:hanging="34" w:start="34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sz w:val="22"/>
                <w:szCs w:val="22"/>
                <w:lang w:eastAsia="en-US" w:bidi="ar-SA"/>
              </w:rPr>
              <w:t xml:space="preserve">Лот № 3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2"/>
                <w:szCs w:val="22"/>
                <w:lang w:eastAsia="en-US" w:bidi="ar-SA"/>
              </w:rPr>
              <w:t>523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en-US" w:bidi="ar-SA"/>
              </w:rPr>
              <w:t>(пятьсот двадцать три) рубля 98 копеек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Порядок внесения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FF0000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 xml:space="preserve">Задаток перечисляется 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sz w:val="22"/>
                <w:szCs w:val="22"/>
                <w:lang w:bidi="ar-SA"/>
              </w:rPr>
              <w:t>с 09.00 часов 18 января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 xml:space="preserve"> 2024 года до 16.00 часов 16 февраля 2024 года (по московскому времени).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Заключение договоров о задатке на бумажном носителе не требуется.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Calibri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Задатки возвращаются в сроки, установленные ст. 39.12. ЗК РФ.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Реквизиты счета для перечисления задатка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hyperlink r:id="rId4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аренды земельного участка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Лот № 1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5 лет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Лот № 2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20 лет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Лот № 3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20 лет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0" w:name="sub_391211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1) Заявка на участие в аукционе.</w:t>
            </w:r>
            <w:bookmarkStart w:id="1" w:name="sub_391212"/>
            <w:bookmarkEnd w:id="0"/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auto"/>
                <w:sz w:val="22"/>
                <w:szCs w:val="22"/>
                <w:lang w:eastAsia="en-US" w:bidi="ar-SA"/>
              </w:rPr>
              <w:t>2) Копии документов, удостоверяющих личность заявителя (для граждан).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End w:id="1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4) </w:t>
            </w:r>
            <w:bookmarkStart w:id="2" w:name="sub_161003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Заверенные копии учредительных документов (для юридических лиц).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3" w:name="sub_161004"/>
            <w:bookmarkEnd w:id="2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  <w:bookmarkEnd w:id="3"/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bookmarkStart w:id="4" w:name="sub_3912130"/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7)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4"/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заключения договора аренды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bidi="ar-SA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(</w:t>
            </w:r>
            <w:hyperlink r:id="rId5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)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 ознакомления покупателей с иной информацией, условиями договора аренды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val="en-US" w:eastAsia="en-US" w:bidi="ar-SA"/>
              </w:rPr>
              <w:t>http</w:t>
            </w:r>
            <w:r>
              <w:rPr>
                <w:rFonts w:eastAsia="Calibri" w:cs="Times New Roman" w:ascii="Times New Roman" w:hAnsi="Times New Roman"/>
                <w:sz w:val="22"/>
                <w:szCs w:val="22"/>
                <w:lang w:eastAsia="en-US" w:bidi="ar-SA"/>
              </w:rPr>
              <w:t>//питерка.рф.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и на официальном сайте Российской Федерации для размещения информации о проведении торгов (</w:t>
            </w:r>
            <w:hyperlink r:id="rId6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http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://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www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new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torgi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gov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.</w:t>
              </w:r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), и электронной площадке Сбербанк-АСТ </w:t>
            </w:r>
            <w:hyperlink r:id="rId7">
              <w:r>
                <w:rPr>
                  <w:rFonts w:eastAsia="Times New Roman" w:cs="Times New Roman" w:ascii="Times New Roman" w:hAnsi="Times New Roman"/>
                  <w:color w:val="0000FF"/>
                  <w:sz w:val="22"/>
                  <w:szCs w:val="22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Ограничения участия отдельных категорий физических и юридических лиц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Порядок определения победителя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Определение участников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Рассмотрение заявок и документов претендентов на участие в аукционе 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состоится 19 февраля 2024 г. в 10.00 часов (по московскому времени)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 xml:space="preserve"> по адресу: Саратовская область, Питерский район,             с. Питерка, ул. им. Ленина, д. 101, кабинет первого заместителя главы администрации Питерского муниципального района.</w:t>
            </w:r>
          </w:p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Срок отказа от проведения аукциона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>
        <w:trPr/>
        <w:tc>
          <w:tcPr>
            <w:tcW w:w="4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Cs/>
                <w:color w:val="auto"/>
                <w:sz w:val="22"/>
                <w:szCs w:val="22"/>
                <w:lang w:bidi="ar-SA"/>
              </w:rPr>
              <w:t>Имущество выставляется впервые</w:t>
            </w: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.</w:t>
            </w:r>
          </w:p>
        </w:tc>
      </w:tr>
      <w:tr>
        <w:trPr/>
        <w:tc>
          <w:tcPr>
            <w:tcW w:w="482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start"/>
              <w:rPr>
                <w:rFonts w:ascii="Times New Roman" w:hAnsi="Times New Roman" w:eastAsia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sz w:val="22"/>
                <w:szCs w:val="22"/>
                <w:lang w:bidi="ar-SA"/>
              </w:rPr>
              <w:t>Плата оператору электронной площадки за участие в аукционе</w:t>
            </w:r>
          </w:p>
        </w:tc>
        <w:tc>
          <w:tcPr>
            <w:tcW w:w="4535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lineRule="atLeast" w:line="0"/>
              <w:jc w:val="both"/>
              <w:rPr>
                <w:rFonts w:ascii="Times New Roman" w:hAnsi="Times New Roman" w:eastAsia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sz w:val="22"/>
                <w:szCs w:val="22"/>
                <w:lang w:bidi="ar-SA"/>
              </w:rPr>
              <w:t>Не взимается</w:t>
            </w:r>
          </w:p>
        </w:tc>
      </w:tr>
    </w:tbl>
    <w:p>
      <w:pPr>
        <w:pStyle w:val="Normal"/>
        <w:widowControl/>
        <w:bidi w:val="0"/>
        <w:jc w:val="both"/>
        <w:rPr>
          <w:rFonts w:ascii="Times New Roman" w:hAnsi="Times New Roman" w:eastAsia="Calibri" w:cs="Times New Roman"/>
          <w:b/>
          <w:bCs/>
          <w:color w:val="auto"/>
          <w:lang w:eastAsia="en-US" w:bidi="ar-SA"/>
        </w:rPr>
      </w:pPr>
      <w:r>
        <w:rPr>
          <w:rFonts w:eastAsia="Calibri" w:cs="Times New Roman" w:ascii="Times New Roman" w:hAnsi="Times New Roman"/>
          <w:b/>
          <w:bCs/>
          <w:color w:val="auto"/>
          <w:lang w:eastAsia="en-US" w:bidi="ar-SA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условия подключения (технологического присоединения) по Лоту № 1: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Электроснабжение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возможности подключения к сетям электроснабжения, предоставленная                          Обществом с ограниченной ответственностью «ЭЛТРЕЙТ» </w:t>
      </w:r>
    </w:p>
    <w:tbl>
      <w:tblPr>
        <w:tblW w:w="9810" w:type="dxa"/>
        <w:jc w:val="start"/>
        <w:tblInd w:w="-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49"/>
        <w:gridCol w:w="4960"/>
      </w:tblGrid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Необходимо произвести строительство ВЛИ-0,4кВ до границы участка (ПС 110/35/10 кВ Малый Узень, ВЛ-10 кВ № 10, КТП — 63) и прокладку питающего кабеля от щита учета на опоре на границе участка до ВРУ-0,4 кВ проектируемого объекта. На границе балансовой принадлежности установить щит учета электроэнергии с устройствами противоаварийной автоматики на запрашиваемую мощность. Заземление электроустановки выполнить согласно ПУЭ.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Предельная свободная мощность существующих сетей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 кВт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15 кВт (0,38 кВ, </w:t>
            </w:r>
            <w:r>
              <w:rPr>
                <w:rFonts w:cs="Times New Roman" w:ascii="Times New Roman" w:hAnsi="Times New Roman"/>
                <w:lang w:val="en-US"/>
              </w:rPr>
              <w:t xml:space="preserve">III </w:t>
            </w:r>
            <w:r>
              <w:rPr>
                <w:rFonts w:cs="Times New Roman" w:ascii="Times New Roman" w:hAnsi="Times New Roman"/>
                <w:lang w:val="ru-RU"/>
              </w:rPr>
              <w:t>категория надежности)</w:t>
            </w:r>
          </w:p>
        </w:tc>
      </w:tr>
      <w:tr>
        <w:trPr>
          <w:trHeight w:val="352" w:hRule="atLeast"/>
        </w:trPr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месяца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действия технических условий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 года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15960 рублей 06 копеек (в том числе НДС 20%) по постановлениям КГРТ Саратовской области № 55/1, 55/2 от 29.11.2022 г.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Газоснабжение: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возможности подключения (технологического присоединения) к сетям газопотребления, предоставленная Филиалом ОАО «Газпром газораспределение Саратовская область» </w:t>
      </w:r>
    </w:p>
    <w:tbl>
      <w:tblPr>
        <w:tblW w:w="9639" w:type="dxa"/>
        <w:jc w:val="start"/>
        <w:tblInd w:w="13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244"/>
        <w:gridCol w:w="4394"/>
      </w:tblGrid>
      <w:tr>
        <w:trPr>
          <w:trHeight w:val="1201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условия подключения (технологического присоединения) объектов к сетям инженерно-технического обеспечения, в том числе: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>
        <w:trPr>
          <w:trHeight w:val="864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= 89 х3,0 мм по ул. Вокзальная с. Малый Узень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подключения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года со дня выдачи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подключение (технологического присоединения) объектов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Водоснабжение: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Водоснабжение земельного участка возможно. Имеется централизованная система водоснабжения.</w:t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Выписка из Правил землепользования и застройки Малоузенского муниципального образования Питерского муниципального района</w:t>
      </w:r>
    </w:p>
    <w:p>
      <w:pPr>
        <w:pStyle w:val="Style16"/>
        <w:bidi w:val="0"/>
        <w:ind w:hanging="0" w:start="14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p>
      <w:pPr>
        <w:pStyle w:val="Style16"/>
        <w:bidi w:val="0"/>
        <w:ind w:hanging="0" w:start="142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Администрация Питерского муниципального района сообщает, что земельный участок расположенный по адресу: Саратовская область, Питерский район, с.Малый Узень, ул. Вокзальная, 48А в соответствии с Правилами землепользования и застройки Малоузенского муниципального образования Питерского муниципального района Саратовской области  утвержденных Решением Собрания Депутатов Питерского муниципального района №25-15 от 31.01.2013 г, (с изменениями от 23.03.2017 г. №8-6, от 20.04.2018 г. №21-15, от 28.10.2019 г. №36-6, от 13.04.2020 г. №40-11, от 30.10.2020 г. №45-14, от 21.12.2020 г. №46-11, от 11.04.2022 г. №60-3),  расположен в зоне коммунально-складских объектов, объектов жилищно-коммунального хозяйства, объектов транспорта и объектов торговли.</w:t>
      </w:r>
    </w:p>
    <w:p>
      <w:pPr>
        <w:pStyle w:val="Style16"/>
        <w:bidi w:val="0"/>
        <w:ind w:hanging="0" w:start="142"/>
        <w:rPr>
          <w:rFonts w:ascii="Times New Roman" w:hAnsi="Times New Roman"/>
        </w:rPr>
      </w:pPr>
      <w:r>
        <w:rPr>
          <w:rFonts w:ascii="Times New Roman" w:hAnsi="Times New Roman"/>
          <w:b/>
          <w:i/>
          <w:lang w:val="ru-RU"/>
        </w:rPr>
        <w:t xml:space="preserve">Кодовое обозначение зоны (индекс) – П3 </w:t>
      </w:r>
    </w:p>
    <w:p>
      <w:pPr>
        <w:pStyle w:val="Style16"/>
        <w:bidi w:val="0"/>
        <w:ind w:hanging="0"/>
        <w:rPr/>
      </w:pPr>
      <w:r>
        <w:rPr>
          <w:rStyle w:val="5"/>
          <w:rFonts w:ascii="Times New Roman" w:hAnsi="Times New Roman"/>
          <w:color w:val="000000"/>
          <w:lang w:val="ru-RU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a5"/>
        <w:tblW w:w="9209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59"/>
        <w:gridCol w:w="6549"/>
      </w:tblGrid>
      <w:tr>
        <w:trPr>
          <w:trHeight w:val="336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54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>
          <w:trHeight w:val="276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и переработка сельскохозяйственной продукции (1.15)</w:t>
            </w:r>
          </w:p>
        </w:tc>
        <w:tc>
          <w:tcPr>
            <w:tcW w:w="6549" w:type="dxa"/>
            <w:vMerge w:val="restart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>
          <w:trHeight w:val="1092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Обеспечение сельскохозяйственного производства (1.18)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vMerge w:val="continue"/>
            <w:tcBorders/>
          </w:tcPr>
          <w:p>
            <w:pPr>
              <w:pStyle w:val="ConsNormal"/>
              <w:widowControl/>
              <w:numPr>
                <w:ilvl w:val="0"/>
                <w:numId w:val="0"/>
              </w:numPr>
              <w:spacing w:before="0" w:after="0"/>
              <w:ind w:hanging="0" w:start="720" w:end="0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336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Животноводство (1.7)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Бытовое обслуживание (3.3)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2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участка- от 400 до 10000 кв. м;</w:t>
            </w:r>
          </w:p>
          <w:p>
            <w:pPr>
              <w:pStyle w:val="ConsNormal"/>
              <w:widowControl/>
              <w:numPr>
                <w:ilvl w:val="0"/>
                <w:numId w:val="2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20 до 100 м;</w:t>
            </w:r>
          </w:p>
          <w:p>
            <w:pPr>
              <w:pStyle w:val="ConsNormal"/>
              <w:widowControl/>
              <w:numPr>
                <w:ilvl w:val="0"/>
                <w:numId w:val="2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1 этаж.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>
        <w:trPr>
          <w:trHeight w:val="573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Коммунальное обслуживание (3.1)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70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Склады (6.9)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3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- от 300 до 5000 кв. м;</w:t>
            </w:r>
          </w:p>
          <w:p>
            <w:pPr>
              <w:pStyle w:val="ConsNormal"/>
              <w:widowControl/>
              <w:numPr>
                <w:ilvl w:val="0"/>
                <w:numId w:val="3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15 до 100 м;</w:t>
            </w:r>
          </w:p>
          <w:p>
            <w:pPr>
              <w:pStyle w:val="ConsNormal"/>
              <w:widowControl/>
              <w:numPr>
                <w:ilvl w:val="0"/>
                <w:numId w:val="3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- 5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60 %.</w:t>
            </w:r>
          </w:p>
        </w:tc>
      </w:tr>
      <w:tr>
        <w:trPr>
          <w:trHeight w:val="70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Земельные участки (территории) общего пользования (12.0)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 новом строительстве устанавливаются в соответствии с документами по планировке территории</w:t>
            </w:r>
          </w:p>
        </w:tc>
      </w:tr>
      <w:tr>
        <w:trPr>
          <w:trHeight w:val="70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Обслуживание автотранспорта (4.9)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4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участка- от 400 до 10000 кв. м;</w:t>
            </w:r>
          </w:p>
          <w:p>
            <w:pPr>
              <w:pStyle w:val="ConsNormal"/>
              <w:widowControl/>
              <w:numPr>
                <w:ilvl w:val="0"/>
                <w:numId w:val="4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20 до 100 м;</w:t>
            </w:r>
          </w:p>
          <w:p>
            <w:pPr>
              <w:pStyle w:val="ConsNormal"/>
              <w:widowControl/>
              <w:numPr>
                <w:ilvl w:val="0"/>
                <w:numId w:val="4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вместимость – до 300 машиномест.</w:t>
            </w:r>
          </w:p>
        </w:tc>
      </w:tr>
    </w:tbl>
    <w:p>
      <w:pPr>
        <w:pStyle w:val="Style16"/>
        <w:bidi w:val="0"/>
        <w:rPr/>
      </w:pPr>
      <w:r>
        <w:rPr>
          <w:rStyle w:val="5"/>
          <w:rFonts w:ascii="Times New Roman" w:hAnsi="Times New Roman"/>
          <w:i w:val="false"/>
          <w:iCs w:val="false"/>
          <w:color w:val="000000"/>
          <w:lang w:val="ru-RU"/>
        </w:rPr>
        <w:t>Вспомогательные виды разрешенного использования:</w:t>
      </w:r>
    </w:p>
    <w:p>
      <w:pPr>
        <w:pStyle w:val="Style16"/>
        <w:numPr>
          <w:ilvl w:val="0"/>
          <w:numId w:val="5"/>
        </w:numPr>
        <w:bidi w:val="0"/>
        <w:ind w:hanging="360" w:start="709"/>
        <w:rPr>
          <w:rFonts w:ascii="Times New Roman" w:hAnsi="Times New Roman"/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lang w:val="ru-RU"/>
        </w:rPr>
        <w:t>Не установлены.</w:t>
      </w:r>
    </w:p>
    <w:p>
      <w:pPr>
        <w:pStyle w:val="Style16"/>
        <w:bidi w:val="0"/>
        <w:rPr/>
      </w:pPr>
      <w:r>
        <w:rPr>
          <w:rStyle w:val="5"/>
          <w:rFonts w:ascii="Times New Roman" w:hAnsi="Times New Roman"/>
          <w:i w:val="false"/>
          <w:iCs w:val="false"/>
          <w:color w:val="000000"/>
          <w:lang w:val="ru-RU"/>
        </w:rPr>
        <w:t>Условно разрешенные виды использования земельных участков и объектов капитального строительства:</w:t>
      </w:r>
    </w:p>
    <w:p>
      <w:pPr>
        <w:pStyle w:val="Style16"/>
        <w:numPr>
          <w:ilvl w:val="0"/>
          <w:numId w:val="5"/>
        </w:numPr>
        <w:bidi w:val="0"/>
        <w:ind w:hanging="360" w:start="709"/>
        <w:rPr>
          <w:rFonts w:ascii="Times New Roman" w:hAnsi="Times New Roman"/>
          <w:i w:val="false"/>
          <w:i w:val="false"/>
          <w:iCs w:val="false"/>
        </w:rPr>
      </w:pPr>
      <w:r>
        <w:rPr>
          <w:rFonts w:ascii="Times New Roman" w:hAnsi="Times New Roman"/>
          <w:i w:val="false"/>
          <w:iCs w:val="false"/>
          <w:lang w:val="ru-RU"/>
        </w:rPr>
        <w:t>Не установлены.</w:t>
      </w:r>
    </w:p>
    <w:p>
      <w:pPr>
        <w:pStyle w:val="Style16"/>
        <w:bidi w:val="0"/>
        <w:rPr>
          <w:rFonts w:ascii="Times New Roman" w:hAnsi="Times New Roman"/>
          <w:i w:val="false"/>
          <w:i w:val="false"/>
          <w:iCs w:val="false"/>
        </w:rPr>
      </w:pPr>
      <w:r>
        <w:rPr>
          <w:rFonts w:ascii="Times New Roman" w:hAnsi="Times New Roman"/>
          <w:b/>
          <w:i w:val="false"/>
          <w:iCs w:val="false"/>
          <w:lang w:val="ru-RU"/>
        </w:rPr>
        <w:t>Ограничения использования земельных участков и объектов капитального строительства:</w:t>
      </w:r>
    </w:p>
    <w:p>
      <w:pPr>
        <w:pStyle w:val="Style16"/>
        <w:bidi w:val="0"/>
        <w:rPr>
          <w:rFonts w:ascii="Times New Roman" w:hAnsi="Times New Roman"/>
          <w:i w:val="false"/>
          <w:i w:val="false"/>
          <w:iCs w:val="false"/>
        </w:rPr>
      </w:pPr>
      <w:r>
        <w:rPr>
          <w:rFonts w:cs="Times New Roman" w:ascii="Times New Roman" w:hAnsi="Times New Roman"/>
          <w:bCs/>
          <w:i w:val="false"/>
          <w:iCs w:val="false"/>
          <w:sz w:val="28"/>
          <w:szCs w:val="28"/>
          <w:lang w:val="ru-RU"/>
        </w:rPr>
        <w:t>Не подлежат установлению.</w:t>
      </w:r>
    </w:p>
    <w:p>
      <w:pPr>
        <w:pStyle w:val="Normal"/>
        <w:bidi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условия подключения (технологического присоединения) по Лоту № 2: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Электроснабжение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возможности подключения к сетям электроснабжения, предоставленная   Обществом с ограниченной ответственностью «ЭЛТРЕЙТ» </w:t>
      </w:r>
    </w:p>
    <w:tbl>
      <w:tblPr>
        <w:tblW w:w="9810" w:type="dxa"/>
        <w:jc w:val="start"/>
        <w:tblInd w:w="-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49"/>
        <w:gridCol w:w="4960"/>
      </w:tblGrid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Необходимо произвести строительство ВЛИ-0,4кВ до границы участка (ПС 110/35/10 кВ Малый Узень, ВЛ-10 кВ № 10, КТП — 9) и прокладку питающего кабеля от щита учета на опоре на границе участка до ВРУ-0,4 кВ проектируемого объекта. На границе балансовой принадлежности установить щит учета электроэнергии с устройствами противоаварийной автоматики на запрашиваемую мощность. Заземление электроустановки выполнить согласно ПУЭ.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Предельная свободная мощность существующих сетей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 кВт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15 кВт (0,38 кВ, </w:t>
            </w:r>
            <w:r>
              <w:rPr>
                <w:rFonts w:cs="Times New Roman" w:ascii="Times New Roman" w:hAnsi="Times New Roman"/>
                <w:lang w:val="en-US"/>
              </w:rPr>
              <w:t xml:space="preserve">III </w:t>
            </w:r>
            <w:r>
              <w:rPr>
                <w:rFonts w:cs="Times New Roman" w:ascii="Times New Roman" w:hAnsi="Times New Roman"/>
                <w:lang w:val="ru-RU"/>
              </w:rPr>
              <w:t>категория надежности)</w:t>
            </w:r>
          </w:p>
        </w:tc>
      </w:tr>
      <w:tr>
        <w:trPr>
          <w:trHeight w:val="352" w:hRule="atLeast"/>
        </w:trPr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 месяца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Срок действия технических условий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 года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 15960 рублей 06 копеек (в том числе НДС 20%) по постановлениям КГРТ Саратовской области № 55/1, 55/2 от 29.11.2022 г.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Газоснабжение: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 возможности подключения (технологического присоединения) к сетям газопотребления, предоставленная Филиалом ОАО «Газпром газораспределение Саратовская область».</w:t>
      </w:r>
    </w:p>
    <w:p>
      <w:pPr>
        <w:pStyle w:val="NoSpacing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Техническая возможность подключения к системе газоснабжения имеется.</w:t>
      </w:r>
    </w:p>
    <w:tbl>
      <w:tblPr>
        <w:tblW w:w="10206" w:type="dxa"/>
        <w:jc w:val="start"/>
        <w:tblInd w:w="13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244"/>
        <w:gridCol w:w="4961"/>
      </w:tblGrid>
      <w:tr>
        <w:trPr>
          <w:trHeight w:val="1201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условия подключения (технологического присоединения) объектов к сетям инженерно-технического обеспечения, в том числе: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>
          <w:trHeight w:val="864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подключения к сетям инженерно-технического обеспечения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подключение (технологического присоединения) объектов к сетям инженерно-технического обеспечения</w:t>
            </w:r>
          </w:p>
        </w:tc>
        <w:tc>
          <w:tcPr>
            <w:tcW w:w="49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Водоснабжение: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Водоснабжение земельного участка возможно. Имеется централизованная система водоснабжения.</w:t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eastAsia="Calibri" w:ascii="Times New Roman" w:hAnsi="Times New Roman"/>
          <w:b/>
          <w:sz w:val="28"/>
          <w:szCs w:val="28"/>
          <w:lang w:val="ru-RU" w:eastAsia="en-US"/>
        </w:rPr>
        <w:t>Выписка из Правил землепользования и застройки Малоузенского муниципального образования Питерского муниципального района</w:t>
      </w:r>
    </w:p>
    <w:p>
      <w:pPr>
        <w:pStyle w:val="Style16"/>
        <w:bidi w:val="0"/>
        <w:ind w:hanging="0" w:start="142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Администрация Питерского муниципального района сообщает, что земельный участок расположенный по адресу: Саратовская область, Питерский район, с.Малый Узень,                                  ул. Вокзальная, 24А, в соответствии с Правилами землепользования и застройки Малоузенского муниципального образования Питерского муниципального района Саратовской области  утвержденных Решением Собрания Депутатов Питерского муниципального района №25-15 от 31.01.2013 г, (с изменениями от 23.03.2017 г. №8-6, от 20.04.2018 г. №21-15, от 28.10.2019 г. №36-6, от 13.04.2020 г. №40-11, от 30.10.2020 г. №45-14, от 21.12.2020 г. №46-11, от 11.04.2022 г. №60-3),  расположен в зоне застройки индивидуальными жилыми домами.</w:t>
      </w:r>
    </w:p>
    <w:p>
      <w:pPr>
        <w:pStyle w:val="Style16"/>
        <w:bidi w:val="0"/>
        <w:ind w:hanging="0" w:start="142"/>
        <w:rPr>
          <w:rFonts w:ascii="Times New Roman" w:hAnsi="Times New Roman"/>
        </w:rPr>
      </w:pPr>
      <w:r>
        <w:rPr>
          <w:rFonts w:ascii="Times New Roman" w:hAnsi="Times New Roman"/>
          <w:b/>
          <w:i/>
          <w:lang w:val="ru-RU"/>
        </w:rPr>
        <w:t xml:space="preserve">Кодовое обозначение зоны (индекс) – Ж1 </w:t>
      </w:r>
    </w:p>
    <w:p>
      <w:pPr>
        <w:pStyle w:val="Style16"/>
        <w:bidi w:val="0"/>
        <w:rPr/>
      </w:pPr>
      <w:r>
        <w:rPr>
          <w:rStyle w:val="5"/>
          <w:rFonts w:ascii="Times New Roman" w:hAnsi="Times New Roman"/>
          <w:b w:val="false"/>
          <w:iCs w:val="false"/>
          <w:color w:val="000000"/>
          <w:lang w:val="ru-RU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Style w:val="a5"/>
        <w:tblW w:w="9351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34"/>
        <w:gridCol w:w="6716"/>
      </w:tblGrid>
      <w:tr>
        <w:trPr/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716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>
          <w:trHeight w:val="1518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Для индивидуального жилищного строительства (2.1);</w:t>
            </w:r>
          </w:p>
        </w:tc>
        <w:tc>
          <w:tcPr>
            <w:tcW w:w="6716" w:type="dxa"/>
            <w:vMerge w:val="restart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участка, предназначенного для индивидуального жилищного строительства – от 300 до 3000 кв. м;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участка, предназначенного для ведения личного подсобного хозяйства – от 100 до 5000 кв. м;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участка, образованного до утверждения настоящих ПЗЗ – от 15 до 100 м;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участка, образованного после утверждения настоящих ПЗЗ – от 5 до 100 м;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участка, образованного до утверждения настоящих ПЗЗ – от 20 до 100 м;</w:t>
            </w:r>
          </w:p>
          <w:p>
            <w:pPr>
              <w:pStyle w:val="ConsNormal"/>
              <w:widowControl/>
              <w:numPr>
                <w:ilvl w:val="0"/>
                <w:numId w:val="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участка, образованного после утверждения настоящих ПЗЗ – от 20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8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минимальное расстояние от границ смежного земельного участка до основного строения – не менее 3 м, до построек для содержания скота и птицы – не менее 4 м, до прочих хозяйственных построек, строений, открытых стоянок – не менее 1 м; хозяйственные и прочие строения, открытые стоянки, отдельно стоящие гаражи размещать в соответствии с санитарными правилами и нормами, противопожарными требованиями, в зависимости от степени огнестойкости;</w:t>
            </w:r>
          </w:p>
          <w:p>
            <w:pPr>
              <w:pStyle w:val="ConsNormal"/>
              <w:widowControl/>
              <w:numPr>
                <w:ilvl w:val="0"/>
                <w:numId w:val="8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50 %.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BodyTextIndent3"/>
              <w:widowControl/>
              <w:numPr>
                <w:ilvl w:val="0"/>
                <w:numId w:val="6"/>
              </w:numPr>
              <w:bidi w:val="0"/>
              <w:spacing w:lineRule="auto" w:line="240"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2.1.Для всех вспомогательных строений высота от уровня земли: до верха плоской кровли – не более 3,0 м; до конька скатной кровли – не более 6 м; до низа скатной кровли – не более 3,0 м.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2.2.Высота ворот гаражей – не более 2,5 м.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Для ведения личного подсобного хозяйства (2.2)</w:t>
            </w:r>
          </w:p>
        </w:tc>
        <w:tc>
          <w:tcPr>
            <w:tcW w:w="6716" w:type="dxa"/>
            <w:vMerge w:val="continue"/>
            <w:tcBorders/>
          </w:tcPr>
          <w:p>
            <w:pPr>
              <w:pStyle w:val="ConsNormal"/>
              <w:widowControl/>
              <w:numPr>
                <w:ilvl w:val="0"/>
                <w:numId w:val="0"/>
              </w:numPr>
              <w:spacing w:before="0" w:after="0"/>
              <w:ind w:hanging="0" w:start="720" w:end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Малоэтажная многоквартирная жилая застройка (2.1.1);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– от 300 до 1000 кв. м;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10 до 100 м;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 со стороны лицевого фасада и не менее 3 м со стороны фасада противоположного лицевому.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4.Максимальная высота жилого дома – 12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6.Иные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высота ворот гаражей – не более 2,5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Блокированная жилая застройка (2.3).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– от 800 до 5000 кв. м;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10 до 100 м;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 со стороны лицевого фасада и не менее 3 м со стороны фасада противоположного лицевому.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4.Максимальная высота жилого дома – 12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6.Иные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BodyTextIndent3"/>
              <w:widowControl/>
              <w:numPr>
                <w:ilvl w:val="0"/>
                <w:numId w:val="6"/>
              </w:numPr>
              <w:bidi w:val="0"/>
              <w:spacing w:lineRule="auto" w:line="240"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высота ворот гаражей – не более 2,5 м.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автотранспорта  (2.7.1)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минимальный размер земельного участка- от 18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максимальный размер земельного участка- не подлежит установлению;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подлежит установлению;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75 %.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Коммунальное обслуживание (3.1)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Магазины п.4.4</w:t>
            </w:r>
          </w:p>
        </w:tc>
        <w:tc>
          <w:tcPr>
            <w:tcW w:w="6716" w:type="dxa"/>
            <w:tcBorders/>
          </w:tcPr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80 до 20000 кв. м.;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8 до 100 м;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10 до 100 м.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  <w:p>
            <w:pPr>
              <w:pStyle w:val="Normal"/>
              <w:widowControl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максимальная высота оград – 1м. в легких конструкциях.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Объекты дорожного сервиса (4.9.1)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вместимость – до 50 машиномест.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Автомобильные мойки (4.9.1.3)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Normal"/>
              <w:widowControl/>
              <w:numPr>
                <w:ilvl w:val="0"/>
                <w:numId w:val="6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вместимость – до 50 машиномест.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Земельные участки (территории) общего пользования (12.0)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 новом строительстве устанавливаются в соответствии с документами по планировке территории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Ведение огородничества (13.1)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площадь земельного участка – от 100 до 1000 кв. м;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ширина земельного участка – от 5 до 50 м;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длина земельного участка – от 5 до 50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1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соседних строений – не менее 1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3.Предельное количество этажей – для хозяйственных построек не более 1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40 %.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Verdana" w:ascii="Times New Roman" w:hAnsi="Times New Roman"/>
                <w:kern w:val="0"/>
                <w:sz w:val="24"/>
                <w:szCs w:val="24"/>
                <w:lang w:val="ru-RU" w:bidi="ar-SA"/>
              </w:rPr>
              <w:t>5.Иные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</w:tc>
      </w:tr>
    </w:tbl>
    <w:p>
      <w:pPr>
        <w:pStyle w:val="Style16"/>
        <w:bidi w:val="0"/>
        <w:rPr/>
      </w:pPr>
      <w:r>
        <w:rPr>
          <w:rStyle w:val="5"/>
          <w:rFonts w:ascii="Times New Roman" w:hAnsi="Times New Roman"/>
          <w:b w:val="false"/>
          <w:color w:val="000000"/>
          <w:lang w:val="ru-RU"/>
        </w:rPr>
        <w:t>Вспомогательные виды разрешенного использования:</w:t>
      </w:r>
    </w:p>
    <w:tbl>
      <w:tblPr>
        <w:tblStyle w:val="a5"/>
        <w:tblW w:w="9209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59"/>
        <w:gridCol w:w="6549"/>
      </w:tblGrid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54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и переработка сельскохозяйственной продукции (1.15)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Коммунальное обслуживание (3.0)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Бытовое обслуживание (3.3)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400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20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1 этаж.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Дошкольное, начальное и среднее общее образование (3.5.1);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Среднее и высшее профессиональное образование (3.5.2);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2000 до 40000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30 до 300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длинна земельного участка – от 30 до 300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4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Религиозное использование (3.7)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400 до 30000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20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50 %.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Магазины (4.4)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600 до 20000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  <w:p>
            <w:pPr>
              <w:pStyle w:val="ConsNormal"/>
              <w:widowControl/>
              <w:numPr>
                <w:ilvl w:val="0"/>
                <w:numId w:val="1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максимальная высота оград – 1м в легких конструкциях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Общественное питание (4.6)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 – от 400 до 20000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20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3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Развлечения (4.8)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500 до 1000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–1 этаж.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Ведение огородничества (13.1)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3000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–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не подлежит установлению.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не подлежит установлению.</w:t>
            </w:r>
          </w:p>
        </w:tc>
      </w:tr>
    </w:tbl>
    <w:p>
      <w:pPr>
        <w:pStyle w:val="Style16"/>
        <w:bidi w:val="0"/>
        <w:ind w:hanging="0"/>
        <w:rPr>
          <w:rFonts w:ascii="Times New Roman" w:hAnsi="Times New Roman"/>
          <w:bCs/>
          <w:i/>
          <w:i/>
          <w:iCs/>
          <w:color w:val="000000"/>
          <w:sz w:val="23"/>
          <w:szCs w:val="23"/>
          <w:u w:val="single"/>
          <w:shd w:fill="FFFFFF" w:val="clear"/>
          <w:lang w:val="ru-RU" w:bidi="ar-SA"/>
        </w:rPr>
      </w:pPr>
      <w:r>
        <w:rPr>
          <w:rFonts w:ascii="Times New Roman" w:hAnsi="Times New Roman"/>
          <w:bCs/>
          <w:i/>
          <w:iCs/>
          <w:color w:val="000000"/>
          <w:sz w:val="23"/>
          <w:szCs w:val="23"/>
          <w:u w:val="single"/>
          <w:shd w:fill="FFFFFF" w:val="clear"/>
          <w:lang w:val="ru-RU" w:bidi="ar-SA"/>
        </w:rPr>
      </w:r>
    </w:p>
    <w:p>
      <w:pPr>
        <w:pStyle w:val="Style16"/>
        <w:bidi w:val="0"/>
        <w:rPr/>
      </w:pPr>
      <w:r>
        <w:rPr>
          <w:rStyle w:val="5"/>
          <w:rFonts w:ascii="Times New Roman" w:hAnsi="Times New Roman"/>
          <w:b w:val="false"/>
          <w:color w:val="000000"/>
          <w:lang w:val="ru-RU"/>
        </w:rPr>
        <w:t>Условно разрешенные виды использования земельных участков и объектов капитального строительства:</w:t>
      </w:r>
    </w:p>
    <w:tbl>
      <w:tblPr>
        <w:tblStyle w:val="a5"/>
        <w:tblW w:w="9209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59"/>
        <w:gridCol w:w="6549"/>
      </w:tblGrid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54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Животноводство (1.7)</w:t>
            </w:r>
          </w:p>
        </w:tc>
        <w:tc>
          <w:tcPr>
            <w:tcW w:w="6549" w:type="dxa"/>
            <w:tcBorders/>
          </w:tcPr>
          <w:p>
            <w:pPr>
              <w:pStyle w:val="ListParagraph"/>
              <w:widowControl/>
              <w:numPr>
                <w:ilvl w:val="0"/>
                <w:numId w:val="12"/>
              </w:numPr>
              <w:suppressAutoHyphens w:val="true"/>
              <w:bidi w:val="0"/>
              <w:spacing w:before="120" w:after="0"/>
              <w:contextualSpacing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и переработка сельскохозяйственной продукции  (1.15)</w:t>
            </w:r>
          </w:p>
        </w:tc>
        <w:tc>
          <w:tcPr>
            <w:tcW w:w="6549" w:type="dxa"/>
            <w:tcBorders/>
          </w:tcPr>
          <w:p>
            <w:pPr>
              <w:pStyle w:val="ListParagraph"/>
              <w:widowControl/>
              <w:numPr>
                <w:ilvl w:val="0"/>
                <w:numId w:val="12"/>
              </w:numPr>
              <w:suppressAutoHyphens w:val="true"/>
              <w:bidi w:val="0"/>
              <w:spacing w:before="120" w:after="0"/>
              <w:contextualSpacing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Объекты торговли (торговые центры, торгово-развлекательные центры) комплексы (4.2);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участка- от 400 до 20000 кв. м;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15 до 100 м;</w:t>
            </w:r>
          </w:p>
          <w:p>
            <w:pPr>
              <w:pStyle w:val="ConsNormal"/>
              <w:widowControl/>
              <w:numPr>
                <w:ilvl w:val="0"/>
                <w:numId w:val="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70 %.</w:t>
            </w:r>
          </w:p>
          <w:p>
            <w:pPr>
              <w:pStyle w:val="ConsNormal"/>
              <w:widowControl/>
              <w:numPr>
                <w:ilvl w:val="0"/>
                <w:numId w:val="6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максимальная высота оград – 1м в легких конструкциях</w:t>
            </w:r>
          </w:p>
        </w:tc>
      </w:tr>
    </w:tbl>
    <w:p>
      <w:pPr>
        <w:pStyle w:val="Style16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Санитарно-защитная зона;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Водоохранная зона;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Прибрежная защитная полоса;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Зона санитарной охраны источников питьевого водоснабжения;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Охранные зоны инженерных коммуникаций;</w:t>
      </w:r>
    </w:p>
    <w:p>
      <w:pPr>
        <w:pStyle w:val="Style16"/>
        <w:numPr>
          <w:ilvl w:val="0"/>
          <w:numId w:val="13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Придорожные полосы.</w:t>
      </w:r>
    </w:p>
    <w:p>
      <w:pPr>
        <w:pStyle w:val="Style16"/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ст.35 настоящих Правил.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Технические условия подключения (технологического присоединения) по Лоту № 3: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Электроснабжение</w:t>
      </w:r>
    </w:p>
    <w:p>
      <w:pPr>
        <w:pStyle w:val="NoSpacing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возможности подключения к сетям электроснабжения, предоставленная                          Филиалом «Новоузенские межрайонные электрические сети»  Питерское отделение АО «Облкомунэнерго» </w:t>
      </w:r>
    </w:p>
    <w:tbl>
      <w:tblPr>
        <w:tblW w:w="9810" w:type="dxa"/>
        <w:jc w:val="start"/>
        <w:tblInd w:w="-4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0" w:lastRow="1" w:firstColumn="1" w:lastColumn="1" w:noHBand="0" w:val="01e0"/>
      </w:tblPr>
      <w:tblGrid>
        <w:gridCol w:w="4849"/>
        <w:gridCol w:w="4960"/>
      </w:tblGrid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Электроснабжение возможно от существующей ВЛ-0,4 кВ КТП № 199, 160/10кВа, ф 1005 от п/с «Питерка-1» 110/35/10кВ, филиал «Новоузенские МЭС» Питерское отделение АО «Облкоммунэнерго»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Предельная свободная мощность существующих сетей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35 кВт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5 кВт</w:t>
            </w:r>
          </w:p>
        </w:tc>
      </w:tr>
      <w:tr>
        <w:trPr>
          <w:trHeight w:val="352" w:hRule="atLeast"/>
        </w:trPr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Определяется договором об осуществлении ТП к электрическим сетям, заключаемым между сетевой организацией и заявителем на основании заявки с приложением необходимого комплекта документов, но не более 6 месяцев с даты заключения договора со стороны сетевой организации при отсутствии дополнительного соглашения к договору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Срок действия технических условий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2 года со дня заключения договора об осуществлении технологического присоединения к электрическим сетям АО «Облкоммунэнерго», с возможностью продления срока действия технических условий на основании письменного обращения заявителя</w:t>
            </w:r>
          </w:p>
        </w:tc>
      </w:tr>
      <w:tr>
        <w:trPr/>
        <w:tc>
          <w:tcPr>
            <w:tcW w:w="484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auto" w:val="clear"/>
          </w:tcPr>
          <w:p>
            <w:pPr>
              <w:pStyle w:val="Normal"/>
              <w:bidi w:val="0"/>
              <w:jc w:val="start"/>
              <w:rPr>
                <w:highlight w:val="none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С 1 июля 2022 г., плата за подключение к электросетям стала зависеть от мощности и установлена в размере 3000 руб. за 1 кВт согласно Постановлению Правительства РФ № 1178 от 30.03.2022 г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Газоснабжение:</w:t>
      </w:r>
    </w:p>
    <w:p>
      <w:pPr>
        <w:pStyle w:val="NoSpacing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Информация о возможности подключения (технологического присоединения) к сетям газопотребления, предоставленная Филиалом ОАО «Газпром газораспределение Саратовская область» </w:t>
      </w:r>
    </w:p>
    <w:tbl>
      <w:tblPr>
        <w:tblW w:w="9639" w:type="dxa"/>
        <w:jc w:val="start"/>
        <w:tblInd w:w="13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244"/>
        <w:gridCol w:w="4394"/>
      </w:tblGrid>
      <w:tr>
        <w:trPr>
          <w:trHeight w:val="1201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условия подключения (технологического присоединения) объектов к сетям инженерно-технического обеспечения, в том числе: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>
        <w:trPr>
          <w:trHeight w:val="864" w:hRule="atLeast"/>
        </w:trPr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= 89 х3,0 мм по ул. имени  Ленина с. Питерка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подключения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 года со дня выдачи</w:t>
            </w:r>
          </w:p>
        </w:tc>
      </w:tr>
      <w:tr>
        <w:trPr/>
        <w:tc>
          <w:tcPr>
            <w:tcW w:w="5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0"/>
              <w:ind w:start="0"/>
              <w:contextualSpacing/>
              <w:jc w:val="star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Плата за подключение (технологического присоединения) объектов к сетям инженерно-технического обеспечения</w:t>
            </w:r>
          </w:p>
        </w:tc>
        <w:tc>
          <w:tcPr>
            <w:tcW w:w="4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before="0" w:after="200"/>
              <w:ind w:star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>
      <w:pPr>
        <w:pStyle w:val="NoSpacing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Водоснабжение:</w:t>
      </w:r>
    </w:p>
    <w:p>
      <w:pPr>
        <w:pStyle w:val="Normal"/>
        <w:bidi w:val="0"/>
        <w:ind w:firstLine="708"/>
        <w:jc w:val="both"/>
        <w:rPr>
          <w:rFonts w:ascii="Times New Roman" w:hAnsi="Times New Roman" w:eastAsia="Calibri"/>
          <w:sz w:val="28"/>
          <w:szCs w:val="28"/>
          <w:lang w:eastAsia="en-US"/>
        </w:rPr>
      </w:pPr>
      <w:r>
        <w:rPr>
          <w:rFonts w:eastAsia="Calibri" w:ascii="Times New Roman" w:hAnsi="Times New Roman"/>
          <w:sz w:val="28"/>
          <w:szCs w:val="28"/>
          <w:lang w:eastAsia="en-US"/>
        </w:rPr>
        <w:t>Водоснабжение земельного участка возможно. Имеется централизованная система водоснабжения.</w:t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lang w:val="ru-RU"/>
        </w:rPr>
        <w:t>Выписка из Правил землепользования и застройки Питерского муниципального образования Питерского муниципального района</w:t>
      </w:r>
    </w:p>
    <w:p>
      <w:pPr>
        <w:pStyle w:val="Style16"/>
        <w:bidi w:val="0"/>
        <w:rPr>
          <w:b/>
          <w:lang w:val="ru-RU"/>
        </w:rPr>
      </w:pPr>
      <w:r>
        <w:rPr>
          <w:b/>
          <w:lang w:val="ru-RU"/>
        </w:rPr>
      </w:r>
    </w:p>
    <w:p>
      <w:pPr>
        <w:pStyle w:val="Style16"/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Администрация Питерского муниципального района сообщает, что земельный участок расположенный по адресу: Саратовская область, Питерский район, с. Питерка, ул. Им Ленина, з/у д.22, в соответствии с Правилами землепользования и застройки Питерского муниципального образования Питерского муниципального района Саратовской области  утвержденных Решением Совета Питерского муниципального образования Питерского муниципального района Саратовской области №20-4 от 21.12.2012 г, (с изменениями от 23.03.2017 г. №8-1, от 15.06.2017 г. №10-5, от 20.04.2018 г. №21-14, от 30.10.2020 №45-17, от 21.12.2020 №46-15, от 11.04.2022 №60-5, от 05.05.2023 г. №72-4),  расположен в зоне - </w:t>
      </w:r>
      <w:r>
        <w:rPr>
          <w:rFonts w:ascii="Times New Roman" w:hAnsi="Times New Roman"/>
          <w:b/>
          <w:i/>
          <w:lang w:val="ru-RU"/>
        </w:rPr>
        <w:t xml:space="preserve"> Малоэтажная жилая застройка:</w:t>
      </w:r>
    </w:p>
    <w:p>
      <w:pPr>
        <w:pStyle w:val="Normal"/>
        <w:suppressAutoHyphens w:val="true"/>
        <w:bidi w:val="0"/>
        <w:spacing w:lineRule="exact" w:line="360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  <w:sz w:val="24"/>
          <w:szCs w:val="24"/>
          <w:lang w:eastAsia="ar-SA" w:bidi="en-US"/>
        </w:rPr>
        <w:t>Кодовое обозначение зоны (индекс) – Ж1.</w:t>
      </w:r>
    </w:p>
    <w:p>
      <w:pPr>
        <w:pStyle w:val="Iauiue"/>
        <w:ind w:firstLine="709"/>
        <w:jc w:val="both"/>
        <w:rPr>
          <w:rFonts w:ascii="Times New Roman" w:hAnsi="Times New Roman"/>
        </w:rPr>
      </w:pPr>
      <w:r>
        <w:rPr>
          <w:rFonts w:eastAsia="Times New Roman"/>
          <w:iCs/>
          <w:sz w:val="24"/>
          <w:szCs w:val="24"/>
          <w:lang w:bidi="en-US"/>
        </w:rPr>
        <w:t xml:space="preserve">Зона малоэтажных индивидуальных жилых домов с участками для индивидуального жилищного строительства и ведения личного подсобного хозяйства выделена для обеспечения правовых условий формирования кварталов жилых домов с низкой плотностью застройки при соблюдении нижеприведенных видов и параметров разрешенного использования недвижимости. </w:t>
      </w:r>
    </w:p>
    <w:p>
      <w:pPr>
        <w:pStyle w:val="Style16"/>
        <w:bidi w:val="0"/>
        <w:rPr/>
      </w:pPr>
      <w:bookmarkStart w:id="5" w:name="_Toc432415544"/>
      <w:r>
        <w:rPr>
          <w:rStyle w:val="5"/>
          <w:rFonts w:ascii="Times New Roman" w:hAnsi="Times New Roman"/>
          <w:color w:val="000000"/>
          <w:lang w:val="ru-RU"/>
        </w:rPr>
        <w:t>Основные виды разрешенного использования земельных участков и объектов капитального строительства:</w:t>
      </w:r>
      <w:bookmarkEnd w:id="5"/>
    </w:p>
    <w:tbl>
      <w:tblPr>
        <w:tblStyle w:val="a5"/>
        <w:tblW w:w="9351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34"/>
        <w:gridCol w:w="6716"/>
      </w:tblGrid>
      <w:tr>
        <w:trPr/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716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>
          <w:trHeight w:val="1518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Для индивидуального жилищного строительства (2.1);</w:t>
            </w:r>
          </w:p>
        </w:tc>
        <w:tc>
          <w:tcPr>
            <w:tcW w:w="6716" w:type="dxa"/>
            <w:vMerge w:val="restart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участка, предназначенного для индивидуального жилищного строительства – от 300 до 3000 кв. м;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участка, предназначенного для ведения личного подсобного хозяйства – от 100 до 5000 кв. м;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участка, образованного до утверждения настоящих ПЗЗ – от 15 до 100 м;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участка, образованного после утверждения настоящих ПЗЗ – от 5 до 100 м;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участка, образованного до утверждения настоящих ПЗЗ – от 20 до 100 м;</w:t>
            </w:r>
          </w:p>
          <w:p>
            <w:pPr>
              <w:pStyle w:val="ConsNormal"/>
              <w:widowControl/>
              <w:numPr>
                <w:ilvl w:val="0"/>
                <w:numId w:val="15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участка, образованного после утверждения настоящих ПЗЗ – от 20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6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минимальное расстояние от границ смежного земельного участка до основного строения – не менее 3 м, до построек для содержания скота и птицы – не менее 4 м, до прочих хозяйственных построек, строений, открытых стоянок – не менее 1 м; хозяйственные и прочие строения, открытые стоянки, отдельно стоящие гаражи размещать в соответствии с санитарными правилами и нормами, противопожарными требованиями, в зависимости от степени огнестойкости;</w:t>
            </w:r>
          </w:p>
          <w:p>
            <w:pPr>
              <w:pStyle w:val="ConsNormal"/>
              <w:widowControl/>
              <w:numPr>
                <w:ilvl w:val="0"/>
                <w:numId w:val="16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50 %.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i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BodyTextIndent3"/>
              <w:widowControl/>
              <w:numPr>
                <w:ilvl w:val="0"/>
                <w:numId w:val="14"/>
              </w:numPr>
              <w:bidi w:val="0"/>
              <w:spacing w:lineRule="auto" w:line="240"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2.1.Для всех вспомогательных строений высота от уровня земли: до верха плоской кровли – не более 3,0 м; до конька скатной кровли – не более 6 м; до низа скатной кровли – не более 3,0 м.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2.2.Высота ворот гаражей – не более 2,5 м.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Для ведения личного подсобного хозяйства (2.2)</w:t>
            </w:r>
          </w:p>
        </w:tc>
        <w:tc>
          <w:tcPr>
            <w:tcW w:w="6716" w:type="dxa"/>
            <w:vMerge w:val="continue"/>
            <w:tcBorders/>
          </w:tcPr>
          <w:p>
            <w:pPr>
              <w:pStyle w:val="ConsNormal"/>
              <w:widowControl/>
              <w:numPr>
                <w:ilvl w:val="0"/>
                <w:numId w:val="0"/>
              </w:numPr>
              <w:spacing w:before="0" w:after="0"/>
              <w:ind w:hanging="0" w:start="720" w:end="0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Малоэтажная многоквартирная жилая застройка (2.1.1);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– от 300 до 1000 кв. м;</w:t>
            </w:r>
          </w:p>
          <w:p>
            <w:pPr>
              <w:pStyle w:val="ConsNormal"/>
              <w:widowControl/>
              <w:numPr>
                <w:ilvl w:val="0"/>
                <w:numId w:val="1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10 до 100 м;</w:t>
            </w:r>
          </w:p>
          <w:p>
            <w:pPr>
              <w:pStyle w:val="ConsNormal"/>
              <w:widowControl/>
              <w:numPr>
                <w:ilvl w:val="0"/>
                <w:numId w:val="1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10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7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 со стороны лицевого фасада и не менее 3 м со стороны фасада противоположного лицевому.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4.Максимальная высота жилого дома – 12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6.Иные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ConsNormal"/>
              <w:widowControl/>
              <w:numPr>
                <w:ilvl w:val="0"/>
                <w:numId w:val="18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высота ворот гаражей – не более 2,5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Блокированная жилая застройка (2.3).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– от 800 до 5000 кв. м;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10 до 100 м;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10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зданий, строений, сооружений – не менее 3 м со стороны лицевого фасада и не менее 3 м со стороны фасада противоположного лицевому.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не более 3 этажей.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4.Максимальная высота жилого дома – 12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6.Иные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  <w:p>
            <w:pPr>
              <w:pStyle w:val="Normal"/>
              <w:widowControl/>
              <w:bidi w:val="0"/>
              <w:spacing w:before="0" w:after="0"/>
              <w:ind w:start="72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Примечание: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1.Допускается блокировка хозяйственных построек на смежных приусадебных участках по взаимному согласию собственников жилого дома, а также блокировка хозяйственных построек к основному строению.</w:t>
            </w:r>
          </w:p>
          <w:p>
            <w:pPr>
              <w:pStyle w:val="BodyTextIndent3"/>
              <w:widowControl/>
              <w:numPr>
                <w:ilvl w:val="0"/>
                <w:numId w:val="14"/>
              </w:numPr>
              <w:bidi w:val="0"/>
              <w:spacing w:lineRule="auto" w:line="240"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2.Высота зданий: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высота ворот гаражей – не более 2,5 м.</w:t>
            </w:r>
          </w:p>
          <w:p>
            <w:pPr>
              <w:pStyle w:val="Normal"/>
              <w:widowControl/>
              <w:numPr>
                <w:ilvl w:val="0"/>
                <w:numId w:val="14"/>
              </w:numPr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3.Вспомогательные строения, за исключением гаражей, размещать со стороны улиц не допускается.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автотранспорта  (2.7.1)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минимальный размер земельного участка- от 18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максимальный размер земельного участка- не подлежит установлению;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подлежит установлению;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75 %.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Коммунальное обслуживание (3.1)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Социальное обслуживание (3.2)</w:t>
            </w:r>
          </w:p>
        </w:tc>
        <w:tc>
          <w:tcPr>
            <w:tcW w:w="6716" w:type="dxa"/>
            <w:tcBorders/>
          </w:tcPr>
          <w:p>
            <w:pPr>
              <w:pStyle w:val="Normal"/>
              <w:widowControl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подлежит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При новом строительстве устанавливаются в соответствии с документами по планировке территории»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Магазины (4.4)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80 до 20000 кв. м.;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8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максимальная высота оград – 1м. в легких конструкциях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( в соответствии с классификатором видов разрешенного использования земельных участков с изменениями от 30.09.2015г)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Объекты дорожного сервиса (4.9.1)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вместимость – до 50 машиномест.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Автомобильные мойки (4.9.1.3)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вместимость – до 50 машиномест.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Земельные участки (территории) общего пользования (12.0)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При новом строительстве устанавливаются в соответствии с документами по планировке территории</w:t>
            </w:r>
          </w:p>
        </w:tc>
      </w:tr>
      <w:tr>
        <w:trPr>
          <w:trHeight w:val="179" w:hRule="atLeast"/>
        </w:trPr>
        <w:tc>
          <w:tcPr>
            <w:tcW w:w="2634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Ведение огородничества (13.1);</w:t>
            </w:r>
          </w:p>
        </w:tc>
        <w:tc>
          <w:tcPr>
            <w:tcW w:w="6716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земельного участка – от 100 до 400 кв. м;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ширина земельного участка – от 5 до 50 м;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длина земельного участка – от 5 до 50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2.Минимальные отступы от границ земельных участков:</w:t>
            </w:r>
          </w:p>
          <w:p>
            <w:pPr>
              <w:pStyle w:val="ConsNormal"/>
              <w:widowControl/>
              <w:numPr>
                <w:ilvl w:val="0"/>
                <w:numId w:val="19"/>
              </w:numPr>
              <w:spacing w:before="0" w:after="0"/>
              <w:ind w:hanging="360" w:start="144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отступ от границ земельных участков до соседних строений – не менее 1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3.Предельное количество этажей – для хозяйственных построек не более 1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4.Максимальный процент застройки в границах земельного участка – 40 %.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5.Иные показатели - высота ограждения земельных участков – не более 1,8 м, на границе с соседними участками ограждения должны быть сетчатые или решётчатые ограждения с целью минимального затемнения.</w:t>
            </w:r>
          </w:p>
        </w:tc>
      </w:tr>
    </w:tbl>
    <w:p>
      <w:pPr>
        <w:pStyle w:val="Style16"/>
        <w:bidi w:val="0"/>
        <w:rPr>
          <w:rFonts w:ascii="Times New Roman" w:hAnsi="Times New Roman"/>
          <w:b w:val="false"/>
          <w:color w:val="000000"/>
          <w:lang w:val="ru-RU"/>
        </w:rPr>
      </w:pPr>
      <w:r>
        <w:rPr>
          <w:rFonts w:ascii="Times New Roman" w:hAnsi="Times New Roman"/>
          <w:b w:val="false"/>
          <w:color w:val="000000"/>
          <w:lang w:val="ru-RU"/>
        </w:rPr>
      </w:r>
    </w:p>
    <w:p>
      <w:pPr>
        <w:pStyle w:val="Style16"/>
        <w:bidi w:val="0"/>
        <w:ind w:hanging="0"/>
        <w:jc w:val="center"/>
        <w:rPr/>
      </w:pPr>
      <w:r>
        <w:rPr>
          <w:rStyle w:val="5"/>
          <w:rFonts w:ascii="Times New Roman" w:hAnsi="Times New Roman"/>
          <w:color w:val="000000"/>
          <w:lang w:val="ru-RU"/>
        </w:rPr>
        <w:t>Вспомогательные виды разрешенного использования:</w:t>
      </w:r>
    </w:p>
    <w:tbl>
      <w:tblPr>
        <w:tblStyle w:val="a5"/>
        <w:tblW w:w="9209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59"/>
        <w:gridCol w:w="6549"/>
      </w:tblGrid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54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и переработка сельскохозяйственной продукции (1.15)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0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Коммунальное обслуживание (3.0)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  <w:p>
            <w:pPr>
              <w:pStyle w:val="ConsNormal"/>
              <w:widowControl/>
              <w:spacing w:before="0" w:after="0"/>
              <w:ind w:firstLine="372" w:start="221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Площадь земельных участков принимать при проектировании объектов в соответствии с требованиями к размещению таких объектов в зоне объектов культуры и искусства СНиП, технических регламентов, СанПиН, и др. документов.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Бытовое обслуживание (3.3)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400 до 10000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20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1 этаж.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допускается использовать для размещения объектов, назначение которых определено настоящими Правилами в качестве вспомогательных.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Дошкольное, начальное и среднее общее образование (3.5.1);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Среднее и высшее профессиональное образование (3.5.2);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2000 до 40000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30 до 300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длинна земельного участка – от 30 до 300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4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Религиозное использование (3.7)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400 до 30000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20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20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50 %.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Развлечения (4.8)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500 до 1000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–1 этаж.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60 %.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Ведение огородничества (13.1)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jc w:val="both"/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300 до 3000 кв.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– не подлежат установлению.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не подлежит установлению.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не подлежит установлению.</w:t>
            </w:r>
          </w:p>
        </w:tc>
      </w:tr>
    </w:tbl>
    <w:p>
      <w:pPr>
        <w:pStyle w:val="Style16"/>
        <w:bidi w:val="0"/>
        <w:ind w:hanging="0" w:start="851"/>
        <w:rPr/>
      </w:pPr>
      <w:r>
        <w:rPr>
          <w:rStyle w:val="5"/>
          <w:rFonts w:ascii="Times New Roman" w:hAnsi="Times New Roman"/>
          <w:color w:val="000000"/>
          <w:lang w:val="ru-RU"/>
        </w:rPr>
        <w:t>Условно разрешенные виды использования земельных участков и объектов капитального строительства:</w:t>
      </w:r>
    </w:p>
    <w:tbl>
      <w:tblPr>
        <w:tblStyle w:val="a5"/>
        <w:tblW w:w="9209" w:type="dxa"/>
        <w:jc w:val="start"/>
        <w:tblInd w:w="5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4a0"/>
      </w:tblPr>
      <w:tblGrid>
        <w:gridCol w:w="2659"/>
        <w:gridCol w:w="6549"/>
      </w:tblGrid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Вид использования</w:t>
            </w:r>
          </w:p>
        </w:tc>
        <w:tc>
          <w:tcPr>
            <w:tcW w:w="654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Животноводство (1.7)</w:t>
            </w:r>
          </w:p>
        </w:tc>
        <w:tc>
          <w:tcPr>
            <w:tcW w:w="6549" w:type="dxa"/>
            <w:tcBorders/>
          </w:tcPr>
          <w:p>
            <w:pPr>
              <w:pStyle w:val="ListParagraph"/>
              <w:widowControl/>
              <w:numPr>
                <w:ilvl w:val="0"/>
                <w:numId w:val="20"/>
              </w:numPr>
              <w:suppressAutoHyphens w:val="true"/>
              <w:bidi w:val="0"/>
              <w:spacing w:before="120" w:after="0"/>
              <w:contextualSpacing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/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Хранение и переработка сельскохозяйственной продукции  (1.15)</w:t>
            </w:r>
          </w:p>
        </w:tc>
        <w:tc>
          <w:tcPr>
            <w:tcW w:w="6549" w:type="dxa"/>
            <w:tcBorders/>
          </w:tcPr>
          <w:p>
            <w:pPr>
              <w:pStyle w:val="ListParagraph"/>
              <w:widowControl/>
              <w:numPr>
                <w:ilvl w:val="0"/>
                <w:numId w:val="20"/>
              </w:numPr>
              <w:suppressAutoHyphens w:val="true"/>
              <w:bidi w:val="0"/>
              <w:spacing w:before="120" w:after="0"/>
              <w:contextualSpacing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подлежат установлению.</w:t>
            </w:r>
          </w:p>
        </w:tc>
      </w:tr>
      <w:tr>
        <w:trPr>
          <w:trHeight w:val="287" w:hRule="atLeast"/>
        </w:trPr>
        <w:tc>
          <w:tcPr>
            <w:tcW w:w="265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jc w:val="start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Объекты торговли (торговые центры, торгово-развлекательные центры) комплексы (4.2)</w:t>
            </w:r>
          </w:p>
        </w:tc>
        <w:tc>
          <w:tcPr>
            <w:tcW w:w="6549" w:type="dxa"/>
            <w:tcBorders/>
          </w:tcPr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1. Предельные (минимальные и (или) максимальные) размеры земельных участков: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площадь земельного участка- от 600 до 20000 кв. м.;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ширина земельного участка – от 15 до 100 м;</w:t>
            </w:r>
          </w:p>
          <w:p>
            <w:pPr>
              <w:pStyle w:val="ConsNormal"/>
              <w:widowControl/>
              <w:spacing w:before="0" w:after="0"/>
              <w:ind w:hanging="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- длина земельного участка – от 15 до 100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2. Минимальные отступы от границ земельных участков - 5 м.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3. Предельное количество этажей – 2 этажа.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4. Максимальный процент застройки в границах земельного участка – 70 %.</w:t>
            </w:r>
          </w:p>
          <w:p>
            <w:pPr>
              <w:pStyle w:val="ConsNormal"/>
              <w:widowControl/>
              <w:numPr>
                <w:ilvl w:val="0"/>
                <w:numId w:val="14"/>
              </w:numPr>
              <w:spacing w:before="0" w:after="0"/>
              <w:ind w:hanging="360" w:start="720" w:end="0"/>
              <w:rPr>
                <w:rFonts w:ascii="Times New Roman" w:hAnsi="Times New Roman"/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 w:val="24"/>
                <w:szCs w:val="24"/>
                <w:lang w:val="ru-RU" w:bidi="ar-SA"/>
              </w:rPr>
              <w:t>5. Иные показатели - максимальная высота оград – 1м. в легких конструкциях</w:t>
            </w:r>
          </w:p>
        </w:tc>
      </w:tr>
    </w:tbl>
    <w:p>
      <w:pPr>
        <w:pStyle w:val="Style16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i/>
          <w:lang w:val="ru-RU"/>
        </w:rPr>
        <w:t>Ограничения использования земельных участков и объектов капитального строительства: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Санитарно-защитная зона;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Водоохранная зона;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Прибрежная защитная полоса;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Зона санитарной охраны источников питьевого водоснабжения;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Охранные зоны инженерных коммуникаций;</w:t>
      </w:r>
    </w:p>
    <w:p>
      <w:pPr>
        <w:pStyle w:val="Style16"/>
        <w:numPr>
          <w:ilvl w:val="0"/>
          <w:numId w:val="21"/>
        </w:numPr>
        <w:bidi w:val="0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Придорожные полосы.</w:t>
      </w:r>
    </w:p>
    <w:p>
      <w:pPr>
        <w:pStyle w:val="Style16"/>
        <w:bidi w:val="0"/>
        <w:rPr>
          <w:rFonts w:ascii="Times New Roman" w:hAnsi="Times New Roman"/>
        </w:rPr>
      </w:pPr>
      <w:r>
        <w:rPr>
          <w:rFonts w:ascii="Times New Roman" w:hAnsi="Times New Roman"/>
          <w:b/>
          <w:lang w:val="ru-RU"/>
        </w:rPr>
        <w:t>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со ст.36 настоящих Правил.</w:t>
      </w:r>
    </w:p>
    <w:p>
      <w:pPr>
        <w:pStyle w:val="Style16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Style16"/>
        <w:bidi w:val="0"/>
        <w:jc w:val="center"/>
        <w:rPr>
          <w:b/>
          <w:lang w:val="ru-RU"/>
        </w:rPr>
      </w:pPr>
      <w:r>
        <w:rPr>
          <w:b/>
          <w:lang w:val="ru-RU"/>
        </w:rPr>
      </w:r>
    </w:p>
    <w:p>
      <w:pPr>
        <w:pStyle w:val="Normal"/>
        <w:widowControl/>
        <w:bidi w:val="0"/>
        <w:spacing w:lineRule="auto" w:line="276"/>
        <w:jc w:val="center"/>
        <w:rPr>
          <w:rFonts w:ascii="Times New Roman" w:hAnsi="Times New Roman" w:eastAsia="TimesNewRomanPSMT" w:cs="Times New Roman"/>
          <w:b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b/>
          <w:color w:val="auto"/>
          <w:sz w:val="28"/>
          <w:szCs w:val="28"/>
          <w:lang w:bidi="ar-SA"/>
        </w:rPr>
        <w:t>Порядок проведения аукциона в электронной форме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>
      <w:pPr>
        <w:pStyle w:val="Normal"/>
        <w:widowControl/>
        <w:bidi w:val="0"/>
        <w:spacing w:lineRule="atLeast" w:line="0"/>
        <w:ind w:firstLine="426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p>
      <w:pPr>
        <w:pStyle w:val="Normal"/>
        <w:widowControl/>
        <w:bidi w:val="0"/>
        <w:spacing w:lineRule="atLeast" w:line="0"/>
        <w:jc w:val="both"/>
        <w:rPr>
          <w:rFonts w:ascii="Times New Roman" w:hAnsi="Times New Roman" w:eastAsia="TimesNewRomanPSMT" w:cs="Times New Roman"/>
          <w:color w:val="auto"/>
          <w:sz w:val="28"/>
          <w:szCs w:val="28"/>
          <w:lang w:bidi="ar-SA"/>
        </w:rPr>
      </w:pPr>
      <w:r>
        <w:rPr>
          <w:rFonts w:eastAsia="TimesNewRomanPSMT" w:cs="Times New Roman" w:ascii="Times New Roman" w:hAnsi="Times New Roman"/>
          <w:color w:val="auto"/>
          <w:sz w:val="28"/>
          <w:szCs w:val="28"/>
          <w:lang w:bidi="ar-SA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PT Astra Serif">
    <w:charset w:val="01"/>
    <w:family w:val="roman"/>
    <w:pitch w:val="default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360"/>
        </w:tabs>
        <w:ind w:start="360" w:hanging="360"/>
      </w:pPr>
      <w:rPr>
        <w:color w:val="auto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start"/>
      <w:pPr>
        <w:tabs>
          <w:tab w:val="num" w:pos="0"/>
        </w:tabs>
        <w:ind w:star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047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360" w:hanging="360"/>
      </w:pPr>
      <w:rPr>
        <w:rFonts w:eastAsia="Calibri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0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8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5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2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39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6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4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120" w:hanging="180"/>
      </w:pPr>
      <w:rPr/>
    </w:lvl>
  </w:abstractNum>
  <w:abstractNum w:abstractNumId="7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9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5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6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7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8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9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20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bullet"/>
      <w:lvlText w:val=""/>
      <w:lvlJc w:val="start"/>
      <w:pPr>
        <w:tabs>
          <w:tab w:val="num" w:pos="0"/>
        </w:tabs>
        <w:ind w:start="142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2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PT Astra Serif" w:hAnsi="PT Astra Serif" w:eastAsia="NSimSun" w:cs="Arial Unicode M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PT Astra Serif" w:hAnsi="PT Astra Serif" w:eastAsia="NSimSun" w:cs="Arial Unicode MS"/>
      <w:color w:val="auto"/>
      <w:kern w:val="2"/>
      <w:sz w:val="24"/>
      <w:szCs w:val="24"/>
      <w:lang w:val="ru-RU" w:eastAsia="zh-CN" w:bidi="hi-IN"/>
    </w:rPr>
  </w:style>
  <w:style w:type="character" w:styleId="Hyperlink">
    <w:name w:val="Hyperlink"/>
    <w:rPr>
      <w:color w:val="000080"/>
      <w:u w:val="single"/>
    </w:rPr>
  </w:style>
  <w:style w:type="character" w:styleId="5">
    <w:name w:val="Основной текст (5)"/>
    <w:qFormat/>
    <w:rPr>
      <w:b/>
      <w:bCs/>
      <w:i/>
      <w:iCs/>
      <w:sz w:val="23"/>
      <w:szCs w:val="23"/>
      <w:u w:val="single"/>
      <w:shd w:fill="FFFFFF" w:val="clear"/>
      <w:lang w:bidi="ar-SA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Arial Unicode MS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qFormat/>
    <w:pPr>
      <w:widowControl/>
      <w:spacing w:lineRule="auto" w:line="276" w:before="0" w:after="200"/>
      <w:ind w:start="720"/>
      <w:contextualSpacing/>
    </w:pPr>
    <w:rPr>
      <w:rFonts w:ascii="Calibri" w:hAnsi="Calibri" w:eastAsia="Times New Roman" w:cs="Times New Roman"/>
      <w:color w:val="auto"/>
      <w:sz w:val="22"/>
      <w:szCs w:val="22"/>
      <w:lang w:bidi="ar-SA"/>
    </w:rPr>
  </w:style>
  <w:style w:type="paragraph" w:styleId="Style16">
    <w:name w:val="Обычный текст"/>
    <w:basedOn w:val="Normal"/>
    <w:qFormat/>
    <w:pPr>
      <w:ind w:firstLine="709"/>
      <w:jc w:val="both"/>
    </w:pPr>
    <w:rPr>
      <w:sz w:val="24"/>
      <w:szCs w:val="24"/>
      <w:lang w:val="en-US" w:eastAsia="ar-SA" w:bidi="en-US"/>
    </w:rPr>
  </w:style>
  <w:style w:type="paragraph" w:styleId="ConsNormal">
    <w:name w:val="ConsNormal"/>
    <w:qFormat/>
    <w:pPr>
      <w:widowControl w:val="false"/>
      <w:suppressAutoHyphens w:val="true"/>
      <w:bidi w:val="0"/>
      <w:spacing w:before="120" w:after="0"/>
      <w:ind w:firstLine="720" w:start="221" w:end="19772"/>
      <w:jc w:val="both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odyTextIndent3">
    <w:name w:val="Body Text Indent 3"/>
    <w:basedOn w:val="Normal"/>
    <w:qFormat/>
    <w:pPr>
      <w:spacing w:lineRule="auto" w:line="276" w:before="0" w:after="120"/>
      <w:ind w:start="283"/>
    </w:pPr>
    <w:rPr>
      <w:rFonts w:ascii="Calibri" w:hAnsi="Calibri"/>
      <w:sz w:val="16"/>
      <w:szCs w:val="16"/>
    </w:rPr>
  </w:style>
  <w:style w:type="paragraph" w:styleId="Iauiue">
    <w:name w:val="Iau?iue"/>
    <w:qFormat/>
    <w:pPr>
      <w:widowControl w:val="false"/>
      <w:suppressAutoHyphens w:val="true"/>
      <w:bidi w:val="0"/>
      <w:spacing w:lineRule="auto" w:line="240" w:before="0" w:after="0"/>
      <w:jc w:val="star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berbank-ast.ru/" TargetMode="External"/><Relationship Id="rId3" Type="http://schemas.openxmlformats.org/officeDocument/2006/relationships/hyperlink" Target="http://www.sberbank-ast.ru/" TargetMode="External"/><Relationship Id="rId4" Type="http://schemas.openxmlformats.org/officeDocument/2006/relationships/hyperlink" Target="http://www.sberbank-ast.ru/" TargetMode="External"/><Relationship Id="rId5" Type="http://schemas.openxmlformats.org/officeDocument/2006/relationships/hyperlink" Target="http://www.new.torgi.gov.ru/" TargetMode="External"/><Relationship Id="rId6" Type="http://schemas.openxmlformats.org/officeDocument/2006/relationships/hyperlink" Target="http://www.new.torgi.gov.ru/" TargetMode="External"/><Relationship Id="rId7" Type="http://schemas.openxmlformats.org/officeDocument/2006/relationships/hyperlink" Target="http://www.sberbank-ast.ru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LibreOffice/7.6.2.1$Windows_X86_64 LibreOffice_project/56f7684011345957bbf33a7ee678afaf4d2ba333</Application>
  <AppVersion>15.0000</AppVersion>
  <Pages>24</Pages>
  <Words>6798</Words>
  <Characters>44499</Characters>
  <CharactersWithSpaces>50792</CharactersWithSpaces>
  <Paragraphs>609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2024-01-17T15:01:10Z</dcterms:created>
  <dc:creator/>
  <dc:description/>
  <dc:language>ru-RU</dc:language>
  <cp:lastModifiedBy/>
  <dcterms:modified xsi:type="dcterms:W3CDTF">2024-01-17T15:01:44Z</dcterms:modified>
  <cp:revision>1</cp:revision>
  <dc:subject/>
  <dc:title/>
</cp:coreProperties>
</file>