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EC3" w:rsidRDefault="00406EC3" w:rsidP="00406EC3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Извещение о проведении электронного аукциона</w:t>
      </w:r>
    </w:p>
    <w:p w:rsidR="00406EC3" w:rsidRDefault="00406EC3" w:rsidP="00406EC3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на право заключения договоров аренды земельных участков</w:t>
      </w:r>
    </w:p>
    <w:p w:rsidR="00406EC3" w:rsidRDefault="00406EC3" w:rsidP="00406EC3">
      <w:pPr>
        <w:widowControl/>
        <w:ind w:right="46"/>
        <w:jc w:val="center"/>
        <w:rPr>
          <w:rFonts w:ascii="Times New Roman" w:eastAsia="Times New Roman" w:hAnsi="Times New Roman" w:cs="Times New Roman"/>
          <w:b/>
          <w:sz w:val="22"/>
          <w:szCs w:val="22"/>
          <w:lang w:bidi="ar-SA"/>
        </w:rPr>
      </w:pPr>
    </w:p>
    <w:p w:rsidR="00406EC3" w:rsidRDefault="00406EC3" w:rsidP="00406EC3">
      <w:pPr>
        <w:keepNext/>
        <w:widowControl/>
        <w:shd w:val="clear" w:color="auto" w:fill="FFFFFF"/>
        <w:spacing w:after="144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</w:pPr>
      <w:r>
        <w:rPr>
          <w:rFonts w:ascii="Times New Roman" w:eastAsia="Calibri" w:hAnsi="Times New Roman" w:cs="Times New Roman"/>
          <w:bCs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соответствии со ст.39.11, ст. 39.12, ст.39.13 Земельного кодекса Российской Федерации от 25.10.2001 г.,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Федеральным законом от 25 ноября 2001 года № 137-ФЗ «О введении в действие Земельного кодекса Российской Федерации»,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Федеральным законом от 26.07.2006 № 135-ФЗ "О защите конкуренции",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руководствуяс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bidi="ar-SA"/>
        </w:rPr>
        <w:t xml:space="preserve">ь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Уставом Питерского муниципального района, </w:t>
      </w:r>
      <w:r>
        <w:rPr>
          <w:rFonts w:ascii="Times New Roman" w:eastAsia="Times New Roman" w:hAnsi="Times New Roman" w:cs="Times New Roman"/>
          <w:bCs/>
          <w:sz w:val="28"/>
          <w:szCs w:val="28"/>
          <w:lang w:bidi="ar-SA"/>
        </w:rPr>
        <w:t>распоряжением администрации Питерского муниципального района Саратовской области от 17 марта 2025 г. №22-р «О проведении электронного аукциона на право заключения договоров аренды земельных участков»,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объявляет о проведении электронного аукциона на право заключения договоров аренды земельных участков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  <w:t>10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.04.2025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bidi="ar-SA"/>
        </w:rPr>
        <w:t>года:</w:t>
      </w:r>
    </w:p>
    <w:p w:rsidR="00406EC3" w:rsidRDefault="00406EC3" w:rsidP="00406EC3">
      <w:pPr>
        <w:keepNext/>
        <w:widowControl/>
        <w:shd w:val="clear" w:color="auto" w:fill="FFFFFF"/>
        <w:spacing w:after="144"/>
        <w:ind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tbl>
      <w:tblPr>
        <w:tblW w:w="490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4667"/>
        <w:gridCol w:w="4491"/>
      </w:tblGrid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Организатор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Администрация Питерского муниципального района Саратовской области.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Уполномоченный орган, реквизиты решения о проведении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Администрация Питерского муниципального района Саратовской области.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Распоряжение администрации Питерского муниципального района от 17 марта 2025 года № 22-р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Место, дата, время проведения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rPr>
                <w:rFonts w:ascii="Calibri" w:eastAsia="Calibri" w:hAnsi="Calibri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10 апреля 2025 г. в 11 часов 00 минут (по московскому времени) на электронной площадке Сбербанк-АСТ</w:t>
            </w:r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 xml:space="preserve"> (</w:t>
            </w:r>
            <w:hyperlink r:id="rId4" w:tgtFrame="http://www.sberbank-ast.ru/">
              <w:r>
                <w:rPr>
                  <w:rFonts w:ascii="Times New Roman" w:eastAsia="Calibri" w:hAnsi="Times New Roman" w:cs="Times New Roman"/>
                  <w:color w:val="0000FF"/>
                  <w:u w:val="single"/>
                  <w:lang w:eastAsia="en-US" w:bidi="ar-SA"/>
                </w:rPr>
                <w:t>http://www.sberbank-ast.ru</w:t>
              </w:r>
            </w:hyperlink>
            <w:r>
              <w:rPr>
                <w:rFonts w:ascii="Calibri" w:eastAsia="Calibri" w:hAnsi="Calibri" w:cs="Times New Roman"/>
                <w:color w:val="auto"/>
                <w:lang w:eastAsia="en-US" w:bidi="ar-SA"/>
              </w:rPr>
              <w:t>).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Предмет аукциона (местоположение, площадь, кадастровый номер, права, об ограничениях этих прав, разрешенное использование, категория земель).</w:t>
            </w:r>
          </w:p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1: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сельскохозяйственного назначения, вид разрешенного использования: сенокошение, с кадастровым номером 64:26:040301:78, общей площадью 1685957 квадратных метров, расположенный по адресу: Саратовская область, Питерский район, территория </w:t>
            </w:r>
            <w:proofErr w:type="spellStart"/>
            <w:r>
              <w:rPr>
                <w:rFonts w:ascii="Times New Roman" w:eastAsia="Calibri" w:hAnsi="Times New Roman" w:cs="Times New Roman"/>
                <w:lang w:eastAsia="en-US" w:bidi="ar-SA"/>
              </w:rPr>
              <w:t>Мироновского</w:t>
            </w:r>
            <w:proofErr w:type="spellEnd"/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муниципального образования, 1,5 км южнее п. Зеленый Луг. Срок аренды – 5 лет.</w:t>
            </w:r>
          </w:p>
          <w:p w:rsidR="00406EC3" w:rsidRDefault="00406EC3" w:rsidP="00476AC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2: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сельскохозяйственного назначения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, вид разрешенного 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 xml:space="preserve">использования: сенокошение, с кадастровым номером 64:26:070401:57, общей площадью 1358646 квадратных метров, расположенный по адресу: Саратовская область, Питерский район, территория </w:t>
            </w:r>
            <w:proofErr w:type="spellStart"/>
            <w:r>
              <w:rPr>
                <w:rFonts w:ascii="Times New Roman" w:eastAsia="Calibri" w:hAnsi="Times New Roman" w:cs="Times New Roman"/>
                <w:lang w:eastAsia="en-US" w:bidi="ar-SA"/>
              </w:rPr>
              <w:t>Новотульского</w:t>
            </w:r>
            <w:proofErr w:type="spellEnd"/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муниципального образования, 11,5 км юго-восточнее пос. Трудовик. Срок аренды – 5 лет.</w:t>
            </w:r>
          </w:p>
          <w:p w:rsidR="00406EC3" w:rsidRDefault="00406EC3" w:rsidP="00476AC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3: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сельскохозяйственного назначения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, вид разрешенного использования: сенокошение, с кадастровым номером 64:26:070401:51, общей площадью 2500000 квадратных метров, расположенный по адресу: Саратовская область, Питерский район, в 12 км юго-восточнее п. Трудовик. Срок аренды – 5 лет.</w:t>
            </w:r>
          </w:p>
          <w:p w:rsidR="00406EC3" w:rsidRDefault="00406EC3" w:rsidP="00476AC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4: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сельскохозяйственного назначения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, вид разрешенного использования: сенокошение, с кадастровым номером 64:26:120101:271, общей площадью 1749997 квадратных метров, расположенный по адресу: Саратовская область, Питерский район, территории Орошаемое муниципального образования, 1 км восточнее пос. Подольский. Срок аренды – 5 лет.</w:t>
            </w:r>
          </w:p>
          <w:p w:rsidR="00406EC3" w:rsidRDefault="00406EC3" w:rsidP="00476AC3">
            <w:pPr>
              <w:widowControl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b/>
                <w:lang w:eastAsia="en-US" w:bidi="ar-SA"/>
              </w:rPr>
              <w:t>Лоту № 5: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земельный участок из земель, государственная собственность на которые не разграничена, категория земель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сельскохозяйственного назначения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, вид разрешенного использования: хранение и переработка сельскохозяйственной продукции, с </w:t>
            </w: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406EC3" w:rsidRDefault="00406EC3" w:rsidP="00476AC3">
            <w:pPr>
              <w:widowControl/>
              <w:shd w:val="clear" w:color="auto" w:fill="FFFFFF"/>
              <w:ind w:left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кадастровым номером 64:26:080401:417, общей площадью 9045 квадратных метров, расположенный по адресу: Саратовская область, Питерский район, территория Питерского муниципального 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образования, 2,3 км юго-западнее с. Питерка. Срок аренды – 10 лет.</w:t>
            </w:r>
          </w:p>
          <w:p w:rsidR="00406EC3" w:rsidRDefault="00406EC3" w:rsidP="00476AC3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Ограничений (обременений) прав на использование земельного участка нет.</w:t>
            </w:r>
          </w:p>
        </w:tc>
      </w:tr>
      <w:tr w:rsidR="00406EC3" w:rsidTr="00476AC3">
        <w:trPr>
          <w:trHeight w:val="2178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lastRenderedPageBreak/>
              <w:t>Начальная цена ежегодного размера арендной платы за земельные участки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30 347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(тридцать тысяч триста сорок семь) рублей 23 копейки;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24 455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(двадцать четыре тысячи четыреста пятьдесят пять) рублей 63 копейки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3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45 000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(сорок пять тысяч) рублей 00 копеек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4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31 499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(тридцать одна тысяча четыреста девяносто девять) рублей 95 копеек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5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18 090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(восемнадцать тысяч девяносто) рублей 00 копеек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Шаг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3% от начальной цены ежегодной арендной платы: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910 (девятьсот десять) рублей 42 копейки;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733 (семьсот тридцать три) рубля 67 копеек;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3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1350 (одна тысяча триста пятьдесят) рублей 00 копеек;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4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945 (девятьсот сорок пять) рублей 00 копеек;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5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542 (пятьсот сорок два) рубля 70 копеек.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Порядок, место, дата и время начала и окончания приема заявок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Заявка на участие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аукционе предоставляется претендентом или его полномочным представителем в электронном виде на электронной площадке Сбербанк-АСТ (</w:t>
            </w:r>
            <w:hyperlink r:id="rId5" w:tgtFrame="http://www.sberbank-ast.ru/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). Одно лицо имеет право подать только одну заявку.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Заявки принимаются с 09.00 часов 24 марта 2025 года до 16.00 часов 04 апреля 2025 года (по московскому времени).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Размер задатка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tabs>
                <w:tab w:val="left" w:pos="993"/>
              </w:tabs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100% начальной ежегодной арендной платы: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30 347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(тридцать тысяч триста сорок семь) рублей 23 копейки;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24 455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(двадцать четыре тысячи четыреста пятьдесят пять) рублей 63 копейки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3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45 000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(сорок пять тысяч) рублей 00 копеек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;</w:t>
            </w:r>
          </w:p>
          <w:p w:rsidR="00406EC3" w:rsidRDefault="00406EC3" w:rsidP="00476AC3">
            <w:pPr>
              <w:widowControl/>
              <w:shd w:val="clear" w:color="auto" w:fill="FFFFFF"/>
              <w:ind w:left="34" w:hanging="34"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t>Лот № 4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31 499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(тридцать одна тысяча четыреста девяносто девять) рублей 95 копеек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;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Лот № 5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 xml:space="preserve"> 18 090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bidi="ar-SA"/>
              </w:rPr>
              <w:t>(восемнадцать тысяч девяносто) рублей 00 копеек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lastRenderedPageBreak/>
              <w:t>Порядок внесения задатка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 xml:space="preserve">Задаток перечисляется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с 09.00 часов 24 марта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2025 года до 16.00 часов 04 апреля 2025 года (по московскому времени).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Данное информационное сообщение является публичной офертой для заключения договоров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Заключение договоров о задатке на бумажном носителе не требуется.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bCs/>
                <w:color w:val="auto"/>
                <w:lang w:bidi="ar-SA"/>
              </w:rPr>
              <w:t>Платежи по перечислению задатка для участия в аукционе и порядок возврата задатка осуществляются в соответствии с Регламентом электронной площадки.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Задатки возвращаются в сроки, установленные ст. 39.12. ЗК РФ.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Реквизиты счета для перечисления задатка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Задаток вносится единым платежом на счет оператора электронной площадки Сбербанк-АСТ (</w:t>
            </w:r>
            <w:hyperlink r:id="rId6" w:tgtFrame="http://www.sberbank-ast.ru/">
              <w:r>
                <w:rPr>
                  <w:rFonts w:ascii="Times New Roman" w:eastAsia="Times New Roman" w:hAnsi="Times New Roman" w:cs="Times New Roman"/>
                  <w:color w:val="0000FF"/>
                  <w:u w:val="single"/>
                  <w:lang w:bidi="ar-SA"/>
                </w:rPr>
                <w:t>http://www.sberbank-ast.ru</w:t>
              </w:r>
            </w:hyperlink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Срок аренды земельного участка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 лет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2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 лет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3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 лет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4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5 лет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Лот № 5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10 лет</w:t>
            </w:r>
          </w:p>
        </w:tc>
      </w:tr>
      <w:tr w:rsidR="00406EC3" w:rsidTr="00476AC3">
        <w:trPr>
          <w:trHeight w:val="3913"/>
        </w:trPr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Перечень предоставляемых заявителями документов и требований к их оформлениям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Для участия в аукционе заявители представляют в установленный в извещении о проведении аукциона срок следующие документы: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1" w:name="sub_391211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1) Заявка на участие в аукционе.</w:t>
            </w:r>
            <w:bookmarkStart w:id="2" w:name="sub_391212"/>
            <w:bookmarkEnd w:id="1"/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2) Копии документов, удостоверяющих личность заявителя (для граждан).</w:t>
            </w:r>
          </w:p>
          <w:bookmarkEnd w:id="2"/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3)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Надлежащим образом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4) </w:t>
            </w:r>
            <w:bookmarkStart w:id="3" w:name="sub_161003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Заверенные копии учредительных документов (для юридических лиц).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4" w:name="sub_161004"/>
            <w:bookmarkEnd w:id="3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5) Документ, содержащий сведения о доле Российской Федерации, субъекта Российской Федерации или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письмо).</w:t>
            </w:r>
            <w:bookmarkEnd w:id="4"/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6)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bookmarkStart w:id="5" w:name="sub_3912130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7)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лица.</w:t>
            </w:r>
            <w:bookmarkEnd w:id="5"/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 xml:space="preserve">Срок заключения договора аренды 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Организатор торгов направляет победителю аукциона или единственному принявшему участие в аукционе его участнику два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договор аренды земельного участка заключается по цене, предложенной победителем аукциона, или в случае заключения указанного договора с единственным принявшим участие в аукционе его участником по начальной цене предмета аукциона. Не допускается заключение указанного договора ранее, чем через десять дней со дня размещения информации о </w:t>
            </w:r>
          </w:p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результатах аукциона на официальном сайте (</w:t>
            </w:r>
            <w:hyperlink r:id="rId7" w:tgtFrame="http://www.new.torgi.gov.ru"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http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://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www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new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proofErr w:type="spellStart"/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torgi</w:t>
              </w:r>
              <w:proofErr w:type="spellEnd"/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proofErr w:type="spellStart"/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gov</w:t>
              </w:r>
              <w:proofErr w:type="spellEnd"/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proofErr w:type="spellStart"/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ru</w:t>
              </w:r>
              <w:proofErr w:type="spellEnd"/>
            </w:hyperlink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Порядок ознакомления покупателей с иной информацией, условиями договора аренды 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Покупатель вправе ознакомиться с необходимой документацией в отношении данного объекта, </w:t>
            </w: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 xml:space="preserve">характеристиками объекта, условиями договоров аренды в администрации Питерского муниципального района по адресу: Саратовская область, Питерский район, с. Питерка, ул. им. Ленина, д. 103, кабинет отдела по земельно-правовым и имущественным отношениям администрации Питерского муниципального района. Так же с условиями договора аренды можно ознакомиться на сайте </w:t>
            </w:r>
            <w:r w:rsidRPr="009465E0">
              <w:rPr>
                <w:rFonts w:ascii="Times New Roman" w:eastAsia="Calibri" w:hAnsi="Times New Roman" w:cs="Times New Roman"/>
                <w:color w:val="auto"/>
                <w:lang w:val="en-US" w:eastAsia="en-US" w:bidi="ar-SA"/>
              </w:rPr>
              <w:t>http</w:t>
            </w:r>
            <w:r w:rsidRPr="009465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://</w:t>
            </w:r>
            <w:proofErr w:type="spellStart"/>
            <w:r w:rsidRPr="009465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питерка</w:t>
            </w:r>
            <w:proofErr w:type="spellEnd"/>
            <w:r w:rsidRPr="009465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proofErr w:type="spellStart"/>
            <w:r w:rsidRPr="009465E0">
              <w:rPr>
                <w:rFonts w:ascii="Times New Roman" w:hAnsi="Times New Roman" w:cs="Times New Roman"/>
                <w:color w:val="auto"/>
                <w:lang w:val="en-US"/>
              </w:rPr>
              <w:t>gosuslugi</w:t>
            </w:r>
            <w:proofErr w:type="spellEnd"/>
            <w:r w:rsidRPr="009465E0">
              <w:rPr>
                <w:rFonts w:ascii="Times New Roman" w:hAnsi="Times New Roman" w:cs="Times New Roman"/>
                <w:color w:val="auto"/>
              </w:rPr>
              <w:t>.</w:t>
            </w:r>
            <w:proofErr w:type="spellStart"/>
            <w:r w:rsidRPr="009465E0">
              <w:rPr>
                <w:rFonts w:ascii="Times New Roman" w:hAnsi="Times New Roman" w:cs="Times New Roman"/>
                <w:color w:val="auto"/>
                <w:lang w:val="en-US"/>
              </w:rPr>
              <w:t>ru</w:t>
            </w:r>
            <w:proofErr w:type="spellEnd"/>
            <w:r w:rsidRPr="009465E0">
              <w:rPr>
                <w:rFonts w:ascii="Times New Roman" w:hAnsi="Times New Roman" w:cs="Times New Roman"/>
                <w:color w:val="auto"/>
              </w:rPr>
              <w:t>/</w:t>
            </w:r>
            <w:proofErr w:type="gramStart"/>
            <w:r w:rsidRPr="009465E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.</w:t>
            </w:r>
            <w:proofErr w:type="gramEnd"/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и на официальном сайте Российской Федерации для размещения информации о проведении торгов (</w:t>
            </w:r>
            <w:hyperlink r:id="rId8" w:tgtFrame="http://www.new.torgi.gov.ru"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http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://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www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new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torgi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gov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.</w:t>
              </w:r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val="en-US" w:bidi="ar-SA"/>
                </w:rPr>
                <w:t>ru</w:t>
              </w:r>
            </w:hyperlink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), и электронной площадке Сбербанк-АСТ </w:t>
            </w:r>
            <w:hyperlink r:id="rId9" w:tgtFrame="http://www.sberbank-ast.ru/">
              <w:r w:rsidRPr="009465E0">
                <w:rPr>
                  <w:rFonts w:ascii="Times New Roman" w:eastAsia="Times New Roman" w:hAnsi="Times New Roman" w:cs="Times New Roman"/>
                  <w:color w:val="auto"/>
                  <w:u w:val="single"/>
                  <w:lang w:bidi="ar-SA"/>
                </w:rPr>
                <w:t>http://www.sberbank-ast.ru</w:t>
              </w:r>
            </w:hyperlink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>Ограничения участия отдельных категорий физических и юридических лиц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 участию в аукционе допускаются физические и юридические лица, за исключением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Порядок определения победителя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Победителем аукциона признается участник, предложивший наиболее высокую цену на право заключения договора аренды земельного участка.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Определение участников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Рассмотрение заявок и документов претендентов на участие в аукционе </w:t>
            </w:r>
            <w:r w:rsidRPr="009465E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состоится 08 апреля 2025 г. в 10.00 часов (по московскому времени)</w:t>
            </w: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по адресу: Саратовская область, Питерский район, с. Питерка, ул. им. Ленина, д. 101, кабинет первого заместителя главы администрации Питерского муниципального района.</w:t>
            </w:r>
          </w:p>
          <w:p w:rsidR="00406EC3" w:rsidRPr="009465E0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highlight w:val="yellow"/>
                <w:lang w:bidi="ar-SA"/>
              </w:rPr>
            </w:pPr>
            <w:r w:rsidRPr="009465E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Претендент приобретает статус участника аукциона с момента подписания членами Комиссии протокола признания претендентов участниками аукциона.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Срок отказа от проведения аукциона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В течение трех дней со дня принятия решения об отказе в проведении аукциона (п. 24 ст. 39.11 ЗК РФ)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Информация обо всех предыдущих торгах, которые не состоялись, были отменены, признаны недействительными с указанием соответствующей причины (отсутствие заявок, явка только одного покупателя, иная причина)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auto"/>
                <w:lang w:bidi="ar-SA"/>
              </w:rPr>
              <w:t>Имущество выставляется впервые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06EC3" w:rsidTr="00476AC3">
        <w:tc>
          <w:tcPr>
            <w:tcW w:w="4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lastRenderedPageBreak/>
              <w:t>Плата оператору электронной площадки за участие в аукционе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widowControl/>
              <w:spacing w:line="0" w:lineRule="atLeast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Не взимается</w:t>
            </w:r>
          </w:p>
        </w:tc>
      </w:tr>
    </w:tbl>
    <w:p w:rsidR="00406EC3" w:rsidRDefault="00406EC3" w:rsidP="00406EC3">
      <w:pPr>
        <w:widowControl/>
        <w:jc w:val="both"/>
        <w:rPr>
          <w:rFonts w:ascii="Times New Roman" w:eastAsia="Calibri" w:hAnsi="Times New Roman" w:cs="Times New Roman"/>
          <w:b/>
          <w:bCs/>
          <w:color w:val="auto"/>
          <w:lang w:eastAsia="en-US" w:bidi="ar-SA"/>
        </w:rPr>
      </w:pPr>
    </w:p>
    <w:p w:rsidR="00406EC3" w:rsidRDefault="00406EC3" w:rsidP="00406EC3">
      <w:pPr>
        <w:ind w:firstLine="708"/>
        <w:jc w:val="both"/>
        <w:rPr>
          <w:rFonts w:ascii="Times New Roman" w:eastAsia="Calibri" w:hAnsi="Times New Roman"/>
          <w:lang w:eastAsia="en-US"/>
        </w:rPr>
      </w:pPr>
    </w:p>
    <w:p w:rsidR="00406EC3" w:rsidRDefault="00406EC3" w:rsidP="00406EC3">
      <w:pPr>
        <w:pStyle w:val="a3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Технические условия подключения (технологического присоединения) </w:t>
      </w:r>
    </w:p>
    <w:p w:rsidR="00406EC3" w:rsidRDefault="00406EC3" w:rsidP="00406EC3">
      <w:pPr>
        <w:pStyle w:val="a3"/>
        <w:ind w:firstLine="709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Лоту № 5:</w:t>
      </w:r>
    </w:p>
    <w:p w:rsidR="00406EC3" w:rsidRDefault="00406EC3" w:rsidP="00406EC3">
      <w:pPr>
        <w:pStyle w:val="a3"/>
        <w:ind w:firstLine="709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Электроснабжение:</w:t>
      </w:r>
    </w:p>
    <w:tbl>
      <w:tblPr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49"/>
        <w:gridCol w:w="4649"/>
      </w:tblGrid>
      <w:tr w:rsidR="00406EC3" w:rsidTr="00476AC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Технические условия подключения (технологического присоединения) объекта капитального строительства к сетям инженерно-технического обеспечения, в том числе: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Возможно подключение к электрическим сетям Левобережного ПО Питерского РЭС к ВЛ-10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Л-3 от ПС 110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Питерка-1</w:t>
            </w:r>
          </w:p>
        </w:tc>
      </w:tr>
      <w:tr w:rsidR="00406EC3" w:rsidTr="00476AC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Предельная свободная мощность существующих сетей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параметрами электрической сети запрашиваемого класса напряжения, указываемого в заявке на технологическое присоединение.</w:t>
            </w:r>
          </w:p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Класс напряжения- 10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390 (кВт).</w:t>
            </w:r>
          </w:p>
        </w:tc>
      </w:tr>
      <w:tr w:rsidR="00406EC3" w:rsidTr="00476AC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Максимальная нагрузка подключения объекта к сетям инженерно-технического обеспечения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Определяется перечнем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 Заявителя и указывается им в заявке на технологическое присоединение.   </w:t>
            </w:r>
            <w:r>
              <w:rPr>
                <w:rFonts w:ascii="Times New Roman" w:hAnsi="Times New Roman" w:cs="Times New Roman"/>
                <w:lang w:val="en-US"/>
              </w:rPr>
              <w:t>Imax</w:t>
            </w:r>
            <w:r>
              <w:rPr>
                <w:rFonts w:ascii="Times New Roman" w:hAnsi="Times New Roman" w:cs="Times New Roman"/>
              </w:rPr>
              <w:t>-25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406EC3" w:rsidTr="00476AC3">
        <w:trPr>
          <w:trHeight w:val="352"/>
        </w:trPr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Сроки подключения объекта к сетям инженерно-технического обеспечения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осуществления мероприятий по технологическому присоединению исчисляется со дня заключения договора и не может превышать: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 30 рабочих дней - для заявителей, указанных в пунктах 12 1 и 14 настоящих Правил, при одновременном соблюдении следующих условий: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технологическое присоединение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 заявителя осуществляется к электрическим сетям классом напряжения 0,4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ниже;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устройства, составляет не более 15 метров;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отсутствует необходимость урегулирования отношений с лицами, являющимися собственниками или иными законными владельцами земельных участков, расположенных полностью или частично между ближайшим объектом электрической сети, имеющим указанный в заявке класс напряжения и используемым сетевой организацией для осуществления технологического присоединения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 заявителя, и земельным участком заявителя;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сетевой организации не требуется </w:t>
            </w:r>
            <w:r>
              <w:rPr>
                <w:rFonts w:ascii="Times New Roman" w:hAnsi="Times New Roman" w:cs="Times New Roman"/>
              </w:rPr>
              <w:lastRenderedPageBreak/>
              <w:t xml:space="preserve">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устройств, а также по обеспечению коммерческого учета электрической энергии (мощности);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4 месяца - для заявителей, максимальная мощность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 которых составляет до 670 кВт включительно в случаях осуществления технологического присоединения к электрическим сетям классом напряжения до 20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включительно, при этом расстояние от существующих электрических сетей необходимого класса напряжения до границ участка, на котором расположены присоединяемые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 и от сетевой организации не требуется выполнение работ по строительству (реконструкции) объектов электросетевого хозяйства, включенных (подлежащих включению) в инвестиционные программы сетевых организаций (в том числе смежных сетевых организаций), и (или) объектов по производству электрической энергии, за исключением работ по строительству объектов электросетевого хозяйства от существующих объектов электросетевого хозяйства до присоединяемых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 и (или) объектов электроэнергетики;</w:t>
            </w:r>
          </w:p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в) 6 месяцев - для заявителей, указанных в пунктах 12.1, 14 и 34 «Правил технологического присоединения…», если технологическое присоединение осуществляется к электрическим сетям, уровень напряжения которых составляет до 20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включительно, и если расстояние от существующих электрических сетей необходимого класса напряжения до границ участка заявителя, на котором </w:t>
            </w:r>
            <w:r>
              <w:rPr>
                <w:rFonts w:ascii="Times New Roman" w:hAnsi="Times New Roman" w:cs="Times New Roman"/>
              </w:rPr>
              <w:lastRenderedPageBreak/>
              <w:t xml:space="preserve">расположены присоединяемые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устройства, составляет не более 300 метров в городах и поселках городского типа и не более 500 метров в сельской местности.</w:t>
            </w:r>
          </w:p>
        </w:tc>
      </w:tr>
      <w:tr w:rsidR="00406EC3" w:rsidTr="00476AC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Срок действия технических условий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действия технических условий не может составлять менее 2 лет и более 5 лет.</w:t>
            </w:r>
          </w:p>
        </w:tc>
      </w:tr>
      <w:tr w:rsidR="00406EC3" w:rsidTr="00476AC3">
        <w:tc>
          <w:tcPr>
            <w:tcW w:w="4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Плата за подключение* (технологическое присоединение) к сетям инженерно-технического обеспечения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6EC3" w:rsidRDefault="00406EC3" w:rsidP="00476A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Плата за технологическое присоединение </w:t>
            </w:r>
            <w:proofErr w:type="spellStart"/>
            <w:r>
              <w:rPr>
                <w:rFonts w:ascii="Times New Roman" w:hAnsi="Times New Roman" w:cs="Times New Roman"/>
              </w:rPr>
              <w:t>энергопринимающих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устройств определяется Постановлениями комитета государственного регулирования тарифов Саратовской области 55/2 от 29.11.2022 г. и 55/1 от 29.11.2022 г.</w:t>
            </w:r>
          </w:p>
        </w:tc>
      </w:tr>
    </w:tbl>
    <w:p w:rsidR="00406EC3" w:rsidRDefault="00406EC3" w:rsidP="00406EC3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Газоснабжение:</w:t>
      </w:r>
    </w:p>
    <w:p w:rsidR="00406EC3" w:rsidRDefault="00406EC3" w:rsidP="00406EC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Согласно письма от 07.02.2025 года № СТО-10/1205 ПАО «Газпром газораспределение Саратовская область» филиал в </w:t>
      </w:r>
      <w:proofErr w:type="spellStart"/>
      <w:r>
        <w:rPr>
          <w:rFonts w:ascii="Times New Roman" w:hAnsi="Times New Roman"/>
          <w:bCs/>
          <w:sz w:val="24"/>
          <w:szCs w:val="24"/>
        </w:rPr>
        <w:t>р.п</w:t>
      </w:r>
      <w:proofErr w:type="spellEnd"/>
      <w:r>
        <w:rPr>
          <w:rFonts w:ascii="Times New Roman" w:hAnsi="Times New Roman"/>
          <w:bCs/>
          <w:sz w:val="24"/>
          <w:szCs w:val="24"/>
        </w:rPr>
        <w:t>. Степное сообщает для получения технических условий на подключение (технологическое присоединение) заявителю необходимо направить в наш адрес запрос о предоставлении технических условий в соответствии с п. 6 Правил подключения (технологического присоединения) объектов капитального строительства к сетям газораспределения (утвержденные Постановлением Правительства РФ от 13 сентября 2021 г. № 1547). К запросу должны прилагаться документы в соответствии с п. 10 вышеуказанных Правил подключения.</w:t>
      </w:r>
    </w:p>
    <w:p w:rsidR="00406EC3" w:rsidRDefault="00406EC3" w:rsidP="00406EC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Срок действия технических условий принимается равным сроку осуществления мероприятий по подключению (технологическому присоединению), указанному в договоре.</w:t>
      </w:r>
    </w:p>
    <w:p w:rsidR="00406EC3" w:rsidRDefault="00406EC3" w:rsidP="00406EC3">
      <w:pPr>
        <w:pStyle w:val="a3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Плата за подключение (технологическое присоединение) на 2025 год рассчитывается согласно постановлению Комитета Государственного регулирования тарифов Саратовской области от 13 декабря 2024 года № 95.</w:t>
      </w:r>
    </w:p>
    <w:p w:rsidR="00406EC3" w:rsidRDefault="00406EC3" w:rsidP="00406EC3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Водоснабжение:</w:t>
      </w:r>
    </w:p>
    <w:p w:rsidR="00406EC3" w:rsidRDefault="00406EC3" w:rsidP="00406EC3">
      <w:pPr>
        <w:ind w:firstLine="708"/>
        <w:jc w:val="both"/>
        <w:rPr>
          <w:rFonts w:ascii="Times New Roman" w:eastAsia="Calibri" w:hAnsi="Times New Roman"/>
          <w:lang w:eastAsia="en-US"/>
        </w:rPr>
      </w:pPr>
      <w:r>
        <w:rPr>
          <w:rFonts w:ascii="Times New Roman" w:eastAsia="Calibri" w:hAnsi="Times New Roman"/>
          <w:lang w:eastAsia="en-US"/>
        </w:rPr>
        <w:t>Водоснабжение земельного участка невозможно из-за отсутствия инженерно-технических сооружений для подачи воды.</w:t>
      </w:r>
    </w:p>
    <w:p w:rsidR="00406EC3" w:rsidRDefault="00406EC3" w:rsidP="00406EC3">
      <w:pPr>
        <w:widowControl/>
        <w:spacing w:line="276" w:lineRule="auto"/>
        <w:jc w:val="center"/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</w:pPr>
      <w:r>
        <w:br w:type="page"/>
      </w:r>
    </w:p>
    <w:p w:rsidR="00406EC3" w:rsidRDefault="00406EC3" w:rsidP="00406EC3">
      <w:pPr>
        <w:widowControl/>
        <w:contextualSpacing/>
        <w:jc w:val="center"/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b/>
          <w:color w:val="auto"/>
          <w:sz w:val="28"/>
          <w:szCs w:val="28"/>
          <w:lang w:bidi="ar-SA"/>
        </w:rPr>
        <w:lastRenderedPageBreak/>
        <w:t>Порядок проведения аукциона в электронной форме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Проведение аукциона в электронной форме в соответствии с Регламентом обеспечивается Оператором электронной площадки.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В аукционе в электронной форме могут участвовать только Заявители, допущенные к участию в аукционе в электронной форме и признанные Участниками. Оператор электронной площадки обеспечивает Участникам возможность принять участие в аукционе в электронной форме.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проводится путем повышения начальной цены Предмета аукциона на «шаг аукциона».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Если в течение 1 (одного) часа со времени начала проведения процедуры аукциона в электронной форме не поступило ни одного предложения о цене аукциона, которое предусматривало бы более высокую цену аукциона.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В случае поступления предложения о более высокой цене аукциона, время представления следующих предложений о цене аукциона продлевается на 10 (десять) минут.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Аукцион в электронной форме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аукциона ни один Участник не сделал предложение о цене аукциона, которое предусматривало бы более высокую цену аукциона.</w:t>
      </w:r>
    </w:p>
    <w:p w:rsidR="00406EC3" w:rsidRDefault="00406EC3" w:rsidP="00406EC3">
      <w:pPr>
        <w:widowControl/>
        <w:ind w:firstLine="708"/>
        <w:contextualSpacing/>
        <w:jc w:val="both"/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NewRomanPSMT" w:hAnsi="Times New Roman" w:cs="Times New Roman"/>
          <w:color w:val="auto"/>
          <w:sz w:val="28"/>
          <w:szCs w:val="28"/>
          <w:lang w:bidi="ar-SA"/>
        </w:rPr>
        <w:t>Победителем признается Участник, предложивший наибольшую цену аукциона.</w:t>
      </w:r>
    </w:p>
    <w:p w:rsidR="00B860F2" w:rsidRPr="00406EC3" w:rsidRDefault="00B860F2" w:rsidP="00406EC3"/>
    <w:sectPr w:rsidR="00B860F2" w:rsidRPr="00406EC3" w:rsidSect="00406EC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89"/>
    <w:rsid w:val="00406EC3"/>
    <w:rsid w:val="004A4137"/>
    <w:rsid w:val="00B860F2"/>
    <w:rsid w:val="00D3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F6326-A4F0-43F7-9716-FB512BDB6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A41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6EC3"/>
    <w:pPr>
      <w:suppressAutoHyphens/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orgi.go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.torgi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berbank-ast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berbank-ast.ru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sberbank-ast.ru/" TargetMode="External"/><Relationship Id="rId9" Type="http://schemas.openxmlformats.org/officeDocument/2006/relationships/hyperlink" Target="http://www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2781</Words>
  <Characters>15856</Characters>
  <Application>Microsoft Office Word</Application>
  <DocSecurity>0</DocSecurity>
  <Lines>132</Lines>
  <Paragraphs>37</Paragraphs>
  <ScaleCrop>false</ScaleCrop>
  <Company/>
  <LinksUpToDate>false</LinksUpToDate>
  <CharactersWithSpaces>18600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2024-12-20T04:45:00Z</dcterms:created>
  <dcterms:modified xsi:type="dcterms:W3CDTF">2025-03-19T12:45:00Z</dcterms:modified>
</cp:coreProperties>
</file>