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ind w:end="46"/>
        <w:jc w:val="center"/>
        <w:rPr>
          <w:rFonts w:ascii="Times New Roman" w:hAnsi="Times New Roman"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Извещение о проведении электронного аукциона</w:t>
      </w:r>
    </w:p>
    <w:p>
      <w:pPr>
        <w:pStyle w:val="Normal"/>
        <w:widowControl/>
        <w:ind w:end="46"/>
        <w:jc w:val="center"/>
        <w:rPr>
          <w:rFonts w:ascii="Times New Roman" w:hAnsi="Times New Roman"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на право заключения договора аренды земельного участка</w:t>
      </w:r>
    </w:p>
    <w:p>
      <w:pPr>
        <w:pStyle w:val="Normal"/>
        <w:widowControl/>
        <w:ind w:end="46"/>
        <w:jc w:val="center"/>
        <w:rPr>
          <w:rFonts w:ascii="Times New Roman" w:hAnsi="Times New Roman" w:eastAsia="Times New Roman" w:cs="Times New Roman"/>
          <w:b/>
          <w:sz w:val="22"/>
          <w:szCs w:val="22"/>
          <w:lang w:bidi="ar-SA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bidi="ar-SA"/>
        </w:rPr>
      </w:r>
    </w:p>
    <w:p>
      <w:pPr>
        <w:pStyle w:val="Normal"/>
        <w:keepNext w:val="true"/>
        <w:widowControl/>
        <w:numPr>
          <w:ilvl w:val="0"/>
          <w:numId w:val="0"/>
        </w:numPr>
        <w:shd w:val="clear" w:color="auto" w:fill="FFFFFF"/>
        <w:spacing w:lineRule="atLeast" w:line="242" w:before="0" w:after="144"/>
        <w:ind w:firstLine="426" w:start="0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eastAsia="Calibri" w:cs="Times New Roman" w:ascii="Times New Roman" w:hAnsi="Times New Roman"/>
          <w:bCs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>Федеральным законом от 26.07.2006 № 135-ФЗ "О защите конкуренции",</w:t>
      </w:r>
      <w:r>
        <w:rPr>
          <w:rFonts w:eastAsia="Times New Roman" w:cs="Times New Roman" w:ascii="Times New Roman" w:hAnsi="Times New Roman"/>
          <w:bCs/>
          <w:color w:val="333333"/>
          <w:sz w:val="28"/>
          <w:szCs w:val="28"/>
          <w:lang w:bidi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>руководствуяс</w:t>
      </w:r>
      <w:r>
        <w:rPr>
          <w:rFonts w:eastAsia="Times New Roman" w:cs="Times New Roman" w:ascii="Times New Roman" w:hAnsi="Times New Roman"/>
          <w:bCs/>
          <w:color w:val="333333"/>
          <w:sz w:val="28"/>
          <w:szCs w:val="28"/>
          <w:lang w:bidi="ar-SA"/>
        </w:rPr>
        <w:t xml:space="preserve">ь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Уставом Питерского муниципального района, 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 xml:space="preserve">распоряжением администрации Питерского муниципального района Саратовской области от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bidi="ar-SA"/>
        </w:rPr>
        <w:t>27 февраля 2024 г. № 20-р «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>О проведении электронного аукциона на право заключения договоров аренды земельных участков»,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 объявляет о проведении электронного аукциона на право заключения договоров аренды земельных участков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shd w:fill="auto" w:val="clear"/>
          <w:lang w:bidi="ar-SA"/>
        </w:rPr>
        <w:t>0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shd w:fill="auto" w:val="clear"/>
          <w:lang w:bidi="ar-SA"/>
        </w:rPr>
        <w:t>2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u w:val="single"/>
          <w:shd w:fill="auto" w:val="clear"/>
          <w:lang w:bidi="ar-SA"/>
        </w:rPr>
        <w:t>.04.2024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auto" w:val="clear"/>
          <w:lang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u w:val="single"/>
          <w:shd w:fill="auto" w:val="clear"/>
          <w:lang w:bidi="ar-SA"/>
        </w:rPr>
        <w:t>года:</w:t>
      </w:r>
    </w:p>
    <w:tbl>
      <w:tblPr>
        <w:tblW w:w="9356" w:type="dxa"/>
        <w:jc w:val="start"/>
        <w:tblInd w:w="-14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20"/>
        <w:gridCol w:w="4535"/>
      </w:tblGrid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Организатор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bidi="ar-SA"/>
              </w:rPr>
              <w:t>Администрация Питерского муниципального района Саратовской области.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shd w:fill="auto" w:val="clear"/>
                <w:lang w:bidi="ar-SA"/>
              </w:rPr>
              <w:t>Распоряжение администрации Питерского муниципального района от 27 февраля 2024 года № 20-р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Место, дата, время проведения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2"/>
                <w:szCs w:val="22"/>
                <w:shd w:fill="auto" w:val="clear"/>
                <w:lang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color w:val="000000"/>
                <w:sz w:val="22"/>
                <w:szCs w:val="22"/>
                <w:shd w:fill="auto" w:val="clear"/>
                <w:lang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2"/>
                <w:szCs w:val="22"/>
                <w:shd w:fill="auto" w:val="clear"/>
                <w:lang w:eastAsia="en-US" w:bidi="ar-SA"/>
              </w:rPr>
              <w:t xml:space="preserve"> апреля 2024 г. в 11 часов 00 минут (по московскому времени) на электронной площадке Сбербанк-АСТ</w:t>
            </w:r>
            <w:r>
              <w:rPr>
                <w:rFonts w:eastAsia="Calibri" w:cs="Times New Roman" w:ascii="Calibri" w:hAnsi="Calibri"/>
                <w:color w:val="000000"/>
                <w:sz w:val="22"/>
                <w:szCs w:val="22"/>
                <w:shd w:fill="auto" w:val="clear"/>
                <w:lang w:eastAsia="en-US" w:bidi="ar-SA"/>
              </w:rPr>
              <w:t xml:space="preserve"> (</w:t>
            </w:r>
            <w:hyperlink r:id="rId2">
              <w:r>
                <w:rPr>
                  <w:rFonts w:eastAsia="Calibri" w:cs="Times New Roman" w:ascii="Times New Roman" w:hAnsi="Times New Roman"/>
                  <w:color w:val="0000FF"/>
                  <w:sz w:val="22"/>
                  <w:szCs w:val="22"/>
                  <w:u w:val="single"/>
                  <w:shd w:fill="auto" w:val="clear"/>
                  <w:lang w:eastAsia="en-US" w:bidi="ar-SA"/>
                </w:rPr>
                <w:t>http://www.sberbank-ast.ru</w:t>
              </w:r>
            </w:hyperlink>
            <w:r>
              <w:rPr>
                <w:rFonts w:eastAsia="Calibri" w:cs="Times New Roman" w:ascii="Calibri" w:hAnsi="Calibri"/>
                <w:color w:val="000000"/>
                <w:sz w:val="22"/>
                <w:szCs w:val="22"/>
                <w:shd w:fill="auto" w:val="clear"/>
                <w:lang w:eastAsia="en-US" w:bidi="ar-SA"/>
              </w:rPr>
              <w:t>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start="34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shd w:fill="FFFFFF" w:val="clear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земельный участок из земель, государственная собственность на которые не разграничена,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категория земель населенных пунктов, вид разрешенного использования: хранение и переработка сельскохозяйственной продукции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с кадастровым номером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64:26:000000:3759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общей площадью 15000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квадратных метров, расположенный по адресу: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Саратовская область, Питерский район, п. Нариманово, 120 м от ул. Береговой. С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рок аренды – 10 лет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.</w:t>
            </w:r>
          </w:p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Начальная цена ежегодного размера арендной платы за земельные участки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64 935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(шестьдесят четыре тысячи девятьсот тридцать пять) рублей 00 копеек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Шаг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3% от начальной цены ежегодной арендной платы: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1948 (одна тысяча девятьсот сорок восемь) рублей 05 копеек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Порядок, место, дата и время начала и окончания приема заявок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Заявка на участие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3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). Одно лицо имеет право подать только одну заявку.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shd w:fill="auto" w:val="clear"/>
                <w:lang w:bidi="ar-SA"/>
              </w:rPr>
              <w:t>Заявки принимаются с 09.00 часов 28 февраля 2024 года до 16.00 часов 28 марта 2024 года (по московскому времени).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Размер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993" w:leader="none"/>
              </w:tabs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100% начальной ежегодной арендной платы:</w:t>
            </w:r>
          </w:p>
          <w:p>
            <w:pPr>
              <w:pStyle w:val="Normal"/>
              <w:widowControl/>
              <w:shd w:val="clear" w:color="auto" w:fill="FFFFFF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64 935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en-US" w:bidi="ar-SA"/>
              </w:rPr>
              <w:t xml:space="preserve"> (шестьдесят четыре тысячи девятьсот тридцать пять) рублей 00 копеек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Порядок внесения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2"/>
                <w:szCs w:val="22"/>
                <w:shd w:fill="auto" w:val="clear"/>
                <w:lang w:bidi="ar-SA"/>
              </w:rPr>
              <w:t xml:space="preserve">Задаток перечисляется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shd w:fill="auto" w:val="clear"/>
                <w:lang w:bidi="ar-SA"/>
              </w:rPr>
              <w:t>с 09.00 часов 28 февраля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shd w:fill="auto" w:val="clear"/>
                <w:lang w:bidi="ar-SA"/>
              </w:rPr>
              <w:t xml:space="preserve"> 2024 года до 16.00 часов 28 марта 2024 года (по московскому времени).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Заключение договоров о задатке на бумажном носителе не требуется.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Задатки возвращаются в сроки, установленные ст. 39.12. ЗК РФ.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Реквизиты счета для перечисления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hyperlink r:id="rId4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аренды земельного участка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10 лет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0" w:name="sub_391211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1) Заявка на участие в аукционе.</w:t>
            </w:r>
            <w:bookmarkStart w:id="1" w:name="sub_391212"/>
            <w:bookmarkEnd w:id="0"/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2) Копии документов, удостоверяющих личность заявителя (для граждан).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End w:id="1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4) </w:t>
            </w:r>
            <w:bookmarkStart w:id="2" w:name="sub_161003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Заверенные копии учредительных документов (для юридических лиц).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3" w:name="sub_161004"/>
            <w:bookmarkEnd w:id="2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  <w:bookmarkEnd w:id="3"/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4" w:name="sub_3912130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7)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4"/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заключения договора аренды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(</w:t>
            </w:r>
            <w:hyperlink r:id="rId5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 ознакомления покупателей с иной информацией, условиями договора аренды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val="en-US" w:eastAsia="en-US" w:bidi="ar-SA"/>
              </w:rPr>
              <w:t>http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//питерка.рф.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и на официальном сайте Российской Федерации для размещения информации о проведении торгов (</w:t>
            </w:r>
            <w:hyperlink r:id="rId6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), и электронной площадке Сбербанк-АСТ </w:t>
            </w:r>
            <w:hyperlink r:id="rId7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 определения победителя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Определение участников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bidi="ar-SA"/>
              </w:rPr>
              <w:t xml:space="preserve">Рассмотрение заявок и документов претендентов на участие в аукционе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shd w:fill="auto" w:val="clear"/>
                <w:lang w:bidi="ar-SA"/>
              </w:rPr>
              <w:t>состоится 01 апреля 2024 г. в 10.00 часов (по московскому времени)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bidi="ar-SA"/>
              </w:rPr>
              <w:t xml:space="preserve"> по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адресу: Саратовская область, Питерский район,             с. Питерка, ул. им. Ленина, д. 101, кабинет первого заместителя главы администрации Питерского муниципального района.</w:t>
            </w:r>
          </w:p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отказа от проведения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Имущество выставляется впервые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Плата оператору электронной площадки за участие в аукционе</w:t>
            </w:r>
          </w:p>
        </w:tc>
        <w:tc>
          <w:tcPr>
            <w:tcW w:w="453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Не взимается</w:t>
            </w:r>
          </w:p>
        </w:tc>
      </w:tr>
    </w:tbl>
    <w:p>
      <w:pPr>
        <w:pStyle w:val="Normal"/>
        <w:widowControl/>
        <w:jc w:val="both"/>
        <w:rPr>
          <w:rFonts w:ascii="Times New Roman" w:hAnsi="Times New Roman" w:eastAsia="Calibri" w:cs="Times New Roman"/>
          <w:b/>
          <w:bCs/>
          <w:color w:val="auto"/>
          <w:lang w:eastAsia="en-US" w:bidi="ar-SA"/>
        </w:rPr>
      </w:pPr>
      <w:r>
        <w:rPr>
          <w:rFonts w:eastAsia="Calibri" w:cs="Times New Roman" w:ascii="Times New Roman" w:hAnsi="Times New Roman"/>
          <w:b/>
          <w:bCs/>
          <w:color w:val="auto"/>
          <w:lang w:eastAsia="en-US" w:bidi="ar-SA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условия подключения (технологического присоединения):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Электроснабжение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возможности подключения к сетям электроснабжения, предоставленная                          Обществом с ограниченной ответственностью «ЭЛТРЕЙТ» </w:t>
      </w:r>
    </w:p>
    <w:tbl>
      <w:tblPr>
        <w:tblW w:w="9810" w:type="dxa"/>
        <w:jc w:val="start"/>
        <w:tblInd w:w="-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49"/>
        <w:gridCol w:w="4960"/>
      </w:tblGrid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Необходимо произвести строительство ВЛИ-0,4кВ до границы участка (РП 10 кВ Питерка, ВЛ-10 кВ № 20, КТП — 115) и прокладку питающего кабеля от щита учета на опоре на границе участка до ВРУ-0,4 кВ проектируемого объекта. На границе балансовой принадлежности установить щит учета электроэнергии с устройствами противоаварийной автоматики на запрашиваемую мощность. Заземление электроустановки выполнить согласно ПУЭ.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Предельная свободная мощность существующих сетей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 кВт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15 кВт (0,4 кВ, </w:t>
            </w:r>
            <w:r>
              <w:rPr>
                <w:rFonts w:cs="Times New Roman" w:ascii="Times New Roman" w:hAnsi="Times New Roman"/>
                <w:lang w:val="en-US"/>
              </w:rPr>
              <w:t xml:space="preserve">III </w:t>
            </w:r>
            <w:r>
              <w:rPr>
                <w:rFonts w:cs="Times New Roman" w:ascii="Times New Roman" w:hAnsi="Times New Roman"/>
                <w:lang w:val="ru-RU"/>
              </w:rPr>
              <w:t>категория надежности)</w:t>
            </w:r>
          </w:p>
        </w:tc>
      </w:tr>
      <w:tr>
        <w:trPr>
          <w:trHeight w:val="352" w:hRule="atLeast"/>
        </w:trPr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месяца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действия технических условий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 года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66 844 рубля 08 копеек (в том числе НДС) по постановлению КГРТ Саратовской области № 84 от 19.12.2023 г.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Газоснабжение: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возможности подключения (технологического присоединения) к сетям газопотребления, предоставленная Филиалом ОАО «Газпром газораспределение Саратовская область» </w:t>
      </w:r>
    </w:p>
    <w:tbl>
      <w:tblPr>
        <w:tblW w:w="9639" w:type="dxa"/>
        <w:jc w:val="start"/>
        <w:tblInd w:w="13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244"/>
        <w:gridCol w:w="4394"/>
      </w:tblGrid>
      <w:tr>
        <w:trPr>
          <w:trHeight w:val="1201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условия подключения (технологического присоединения) объектов к сетям инженерно-технического обеспечения, в том числе: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>
        <w:trPr>
          <w:trHeight w:val="864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подключения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0"/>
              <w:ind w:star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подключение (технологического присоединения) объектов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Водоснабжение:</w:t>
      </w:r>
    </w:p>
    <w:p>
      <w:pPr>
        <w:pStyle w:val="Normal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Водоснабжение земельного участка возможно. Имеется централизованная система водоснабжения.</w:t>
      </w:r>
    </w:p>
    <w:p>
      <w:pPr>
        <w:pStyle w:val="Style1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Выписка из Правил землепользования и застройки Питерского муниципального образования Питерского муниципального района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Администрация Питерского муниципального района сообщает, что  земельный участок расположенный по адресу: Саратовская область, Питерский район, п. Нариманово, 120 м от ул.Береговой, кадастровый номер 64:26:000000:3759 в соответствии с Правилами землепользования и застройки Питерского муниципального образования Питерского муниципального района Саратовской области  утвержденных Решением Совета Питерского муниципального образования Питерского муниципального района Саратовской области №20-4 от 21.12.2012 г,             (с изменениями от 23.03.2017 г. №8-1, от 15.06.2017 г. №10-5, от 20.04.2018 г. №21-14, от 30.10.2020 №45-17, от 21.12.2020 №46-15, от 11.04.2022 №60-5, от 05.05.2023 г. №72-4, от 30.11.2023 №3-6),  расположен в зоне – </w:t>
      </w:r>
      <w:r>
        <w:rPr>
          <w:rFonts w:ascii="Times New Roman" w:hAnsi="Times New Roman"/>
          <w:i/>
          <w:sz w:val="28"/>
          <w:szCs w:val="28"/>
        </w:rPr>
        <w:t>Производственная зона сельскохозяйственных предприятий</w:t>
      </w:r>
    </w:p>
    <w:p>
      <w:pPr>
        <w:pStyle w:val="Style16"/>
        <w:rPr>
          <w:rFonts w:ascii="Times New Roman" w:hAnsi="Times New Roman"/>
        </w:rPr>
      </w:pPr>
      <w:r>
        <w:rPr>
          <w:rFonts w:ascii="Times New Roman" w:hAnsi="Times New Roman"/>
          <w:b/>
          <w:i/>
          <w:lang w:val="ru-RU"/>
        </w:rPr>
        <w:t>Кодовое обозначение зоны (индекс )- СХ-2</w:t>
      </w:r>
    </w:p>
    <w:tbl>
      <w:tblPr>
        <w:tblStyle w:val="a5"/>
        <w:tblW w:w="9923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94"/>
        <w:gridCol w:w="7228"/>
      </w:tblGrid>
      <w:tr>
        <w:trPr>
          <w:trHeight w:val="336" w:hRule="atLeast"/>
        </w:trPr>
        <w:tc>
          <w:tcPr>
            <w:tcW w:w="26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lang w:val="ru-RU" w:bidi="ar-SA"/>
              </w:rPr>
              <w:t>Вид использования</w:t>
            </w:r>
          </w:p>
        </w:tc>
        <w:tc>
          <w:tcPr>
            <w:tcW w:w="72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/>
        <w:tc>
          <w:tcPr>
            <w:tcW w:w="9922" w:type="dxa"/>
            <w:gridSpan w:val="2"/>
            <w:tcBorders/>
            <w:vAlign w:val="center"/>
          </w:tcPr>
          <w:p>
            <w:pPr>
              <w:pStyle w:val="Style16"/>
              <w:widowControl/>
              <w:spacing w:before="0" w:after="0"/>
              <w:ind w:hanging="0"/>
              <w:jc w:val="center"/>
              <w:rPr>
                <w:kern w:val="0"/>
              </w:rPr>
            </w:pPr>
            <w:r>
              <w:rPr>
                <w:rStyle w:val="5"/>
                <w:rFonts w:ascii="Times New Roman" w:hAnsi="Times New Roman"/>
                <w:color w:val="000000"/>
                <w:kern w:val="0"/>
                <w:lang w:val="ru-RU"/>
              </w:rPr>
              <w:t>Основные виды разрешенного использования</w:t>
            </w:r>
            <w:r>
              <w:rPr>
                <w:rStyle w:val="5"/>
                <w:rFonts w:ascii="Times New Roman" w:hAnsi="Times New Roman"/>
                <w:kern w:val="0"/>
                <w:lang w:val="ru-RU"/>
              </w:rPr>
              <w:t>:</w:t>
            </w:r>
          </w:p>
        </w:tc>
      </w:tr>
      <w:tr>
        <w:trPr>
          <w:trHeight w:val="556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Животноводство (1.7)</w:t>
            </w:r>
          </w:p>
        </w:tc>
        <w:tc>
          <w:tcPr>
            <w:tcW w:w="722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  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площадь земельного участка – от 500 до 500000 кв. м;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  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ширина земельного участка – от 20 до 1000 м;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  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длина земельного участка – от 20 до 2000 м.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2.Минимальные отступы от границ земельных участков не подлежат установлению.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3.Предельное количество этажей – не подлежит установлению.</w:t>
            </w:r>
          </w:p>
          <w:p>
            <w:pPr>
              <w:pStyle w:val="ConsNormal"/>
              <w:spacing w:before="0" w:after="0"/>
              <w:ind w:hanging="0" w:start="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не подлежит установлению.</w:t>
            </w:r>
          </w:p>
        </w:tc>
      </w:tr>
      <w:tr>
        <w:trPr>
          <w:trHeight w:val="70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Скотоводство (1.8)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Звероводство (1.9)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Птицеводство (1.10)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Свиноводство (1.11)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1208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Рыбоводство (1.13)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292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Хранение и переработка сельскохозяйственной продукции (1.15)</w:t>
            </w:r>
          </w:p>
        </w:tc>
        <w:tc>
          <w:tcPr>
            <w:tcW w:w="722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Не подлежат установлению</w:t>
            </w:r>
          </w:p>
        </w:tc>
      </w:tr>
      <w:tr>
        <w:trPr>
          <w:trHeight w:val="271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Обеспечение сельскохозяйственного производства (1.18)</w:t>
            </w:r>
          </w:p>
        </w:tc>
        <w:tc>
          <w:tcPr>
            <w:tcW w:w="722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271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722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Normal"/>
              <w:widowControl/>
              <w:spacing w:before="0" w:after="0"/>
              <w:ind w:hanging="284" w:start="317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 xml:space="preserve">  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площадь земельного участка, предназначенного для ведения      личного подсобного хозяйства – от 100 до 5000 кв. м;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284" w:leader="none"/>
              </w:tabs>
              <w:spacing w:before="0" w:after="0"/>
              <w:ind w:hanging="284" w:start="317"/>
              <w:jc w:val="both"/>
              <w:textAlignment w:val="baseline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ширина земельного участка, образованного до утверждения настоящих ПЗЗ – от 15 до 100 м;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284" w:leader="none"/>
              </w:tabs>
              <w:spacing w:before="0" w:after="0"/>
              <w:ind w:hanging="284" w:start="317"/>
              <w:jc w:val="both"/>
              <w:textAlignment w:val="baseline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ширина земельного участка, образованного после утверждения настоящих ПЗЗ – от 5 до 100 м;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284" w:leader="none"/>
              </w:tabs>
              <w:spacing w:before="0" w:after="0"/>
              <w:ind w:hanging="284" w:start="317"/>
              <w:jc w:val="both"/>
              <w:textAlignment w:val="baseline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длина земельного участка, образованного до утверждения настоящих ПЗЗ – от 20 до 100 м;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284" w:leader="none"/>
              </w:tabs>
              <w:spacing w:before="0" w:after="0"/>
              <w:ind w:hanging="284" w:start="317"/>
              <w:jc w:val="both"/>
              <w:textAlignment w:val="baseline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длина земельного участка, образованного после утверждения настоящих ПЗЗ – от 20 до 100 м.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  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минимальное расстояние от границ смежного земельного участка до основного строения – не менее 3 м, до построек для содержания скота и птицы – не менее 4 м, до прочих хозяйственных построек, строений, открытых стоянок – не менее 1 м; хозяйственные и прочие строения, открытые стоянки, отдельно стоящие гаражи размещать в соответствии с санитарными правилами и нормами, противопожарными требованиями, в зависимости от степени огнестойкости;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eastAsia="Symbol" w:cs="Symbol" w:ascii="Times New Roman" w:hAnsi="Times New Roman"/>
                <w:color w:val="000000"/>
                <w:kern w:val="0"/>
                <w:lang w:val="ru-RU" w:bidi="ar-SA"/>
              </w:rPr>
              <w:t>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 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отступ от границ земельных участков до зданий, строений, сооружений – не менее 3 м.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4.Максимальный процент застройки в границах земельного участка – 50 %.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5.Иные показатели - высота ограждения земельных участков – не более 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6.Допускается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7.Высота зданий: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- для всех вспомогательных строений высота от уровня земли: до верха плоской кровли – не более 3,0 м; до конька скатной кровли – не более 6 м; до низа скатной кровли – не более 3,0 м.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- высота ворот гаражей – не более 2,5 м.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8.Вспомогательные строения, за исключением гаражей, размещать со стороны улиц не допускается</w:t>
            </w:r>
          </w:p>
        </w:tc>
      </w:tr>
      <w:tr>
        <w:trPr>
          <w:trHeight w:val="271" w:hRule="atLeast"/>
        </w:trPr>
        <w:tc>
          <w:tcPr>
            <w:tcW w:w="2694" w:type="dxa"/>
            <w:tcBorders/>
          </w:tcPr>
          <w:p>
            <w:pPr>
              <w:pStyle w:val="Normal"/>
              <w:widowControl/>
              <w:spacing w:lineRule="atLeast" w:line="70"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Коммунальное обслуживание (3.1)</w:t>
            </w:r>
          </w:p>
        </w:tc>
        <w:tc>
          <w:tcPr>
            <w:tcW w:w="722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Не подлежат установлению.</w:t>
            </w:r>
          </w:p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433" w:hRule="atLeast"/>
        </w:trPr>
        <w:tc>
          <w:tcPr>
            <w:tcW w:w="9922" w:type="dxa"/>
            <w:gridSpan w:val="2"/>
            <w:tcBorders/>
            <w:vAlign w:val="center"/>
          </w:tcPr>
          <w:p>
            <w:pPr>
              <w:pStyle w:val="Style16"/>
              <w:widowControl/>
              <w:spacing w:before="0" w:after="0"/>
              <w:ind w:hanging="0"/>
              <w:jc w:val="center"/>
              <w:rPr>
                <w:kern w:val="0"/>
              </w:rPr>
            </w:pPr>
            <w:r>
              <w:rPr>
                <w:rStyle w:val="5"/>
                <w:rFonts w:ascii="Times New Roman" w:hAnsi="Times New Roman"/>
                <w:color w:val="000000"/>
                <w:kern w:val="0"/>
                <w:lang w:val="ru-RU"/>
              </w:rPr>
              <w:t>Вспомогательные виды разрешенного использования:</w:t>
            </w:r>
          </w:p>
        </w:tc>
      </w:tr>
      <w:tr>
        <w:trPr>
          <w:trHeight w:val="275" w:hRule="atLeast"/>
        </w:trPr>
        <w:tc>
          <w:tcPr>
            <w:tcW w:w="9922" w:type="dxa"/>
            <w:gridSpan w:val="2"/>
            <w:tcBorders/>
          </w:tcPr>
          <w:p>
            <w:pPr>
              <w:pStyle w:val="Style16"/>
              <w:widowControl/>
              <w:spacing w:before="0" w:after="0"/>
              <w:ind w:hanging="0"/>
              <w:jc w:val="center"/>
              <w:rPr>
                <w:kern w:val="0"/>
              </w:rPr>
            </w:pPr>
            <w:r>
              <w:rPr>
                <w:rStyle w:val="5"/>
                <w:rFonts w:ascii="Times New Roman" w:hAnsi="Times New Roman"/>
                <w:kern w:val="0"/>
                <w:lang w:val="ru-RU"/>
              </w:rPr>
              <w:t>Не подлежат установлению</w:t>
            </w:r>
          </w:p>
        </w:tc>
      </w:tr>
      <w:tr>
        <w:trPr>
          <w:trHeight w:val="433" w:hRule="atLeast"/>
        </w:trPr>
        <w:tc>
          <w:tcPr>
            <w:tcW w:w="9922" w:type="dxa"/>
            <w:gridSpan w:val="2"/>
            <w:tcBorders/>
            <w:vAlign w:val="center"/>
          </w:tcPr>
          <w:p>
            <w:pPr>
              <w:pStyle w:val="Style16"/>
              <w:widowControl/>
              <w:spacing w:before="0" w:after="0"/>
              <w:ind w:hanging="0"/>
              <w:jc w:val="center"/>
              <w:rPr>
                <w:kern w:val="0"/>
              </w:rPr>
            </w:pPr>
            <w:r>
              <w:rPr>
                <w:rStyle w:val="5"/>
                <w:rFonts w:ascii="Times New Roman" w:hAnsi="Times New Roman"/>
                <w:color w:val="000000"/>
                <w:kern w:val="0"/>
                <w:lang w:val="ru-RU"/>
              </w:rPr>
              <w:t>Условно разрешенные виды использования:</w:t>
            </w:r>
          </w:p>
        </w:tc>
      </w:tr>
      <w:tr>
        <w:trPr>
          <w:trHeight w:val="433" w:hRule="atLeast"/>
        </w:trPr>
        <w:tc>
          <w:tcPr>
            <w:tcW w:w="9922" w:type="dxa"/>
            <w:gridSpan w:val="2"/>
            <w:tcBorders/>
          </w:tcPr>
          <w:p>
            <w:pPr>
              <w:pStyle w:val="ConsNormal"/>
              <w:widowControl/>
              <w:spacing w:before="0" w:after="0"/>
              <w:ind w:hanging="0" w:start="-108" w:end="0"/>
              <w:jc w:val="center"/>
              <w:rPr>
                <w:kern w:val="0"/>
                <w:lang w:val="ru-RU" w:bidi="ar-SA"/>
              </w:rPr>
            </w:pPr>
            <w:r>
              <w:rPr>
                <w:rStyle w:val="5"/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Не подлежат установлению</w:t>
            </w:r>
          </w:p>
        </w:tc>
      </w:tr>
    </w:tbl>
    <w:p>
      <w:pPr>
        <w:pStyle w:val="Style17"/>
        <w:tabs>
          <w:tab w:val="clear" w:pos="709"/>
          <w:tab w:val="left" w:pos="1134" w:leader="none"/>
        </w:tabs>
        <w:spacing w:lineRule="auto" w:line="240" w:before="0" w:after="0"/>
        <w:rPr>
          <w:rFonts w:ascii="Times New Roman" w:hAnsi="Times New Roman"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/>
          <w:i w:val="false"/>
          <w:iCs w:val="false"/>
          <w:sz w:val="24"/>
          <w:szCs w:val="24"/>
          <w:shd w:fill="auto" w:val="clear"/>
          <w:lang w:val="ru-RU"/>
        </w:rPr>
        <w:t>Ограничения использования земельных участков и объектов капитального строительства указаны в главе 13 настоящих Правил.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76"/>
        <w:jc w:val="center"/>
        <w:rPr>
          <w:rFonts w:ascii="Times New Roman" w:hAnsi="Times New Roman" w:eastAsia="TimesNewRomanPSMT" w:cs="Times New Roman"/>
          <w:b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b/>
          <w:color w:val="auto"/>
          <w:sz w:val="28"/>
          <w:szCs w:val="28"/>
          <w:lang w:bidi="ar-SA"/>
        </w:rPr>
        <w:t>Порядок проведения аукциона в электронной форме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>
      <w:pPr>
        <w:pStyle w:val="Normal"/>
        <w:widowControl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>
      <w:pPr>
        <w:pStyle w:val="Normal"/>
        <w:widowControl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start"/>
      <w:pPr>
        <w:tabs>
          <w:tab w:val="num" w:pos="0"/>
        </w:tabs>
        <w:ind w:star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PT Astra Serif" w:hAnsi="PT Astra Serif" w:eastAsia="NSimSun" w:cs="Arial Unicode MS"/>
      <w:color w:val="auto"/>
      <w:kern w:val="2"/>
      <w:sz w:val="24"/>
      <w:szCs w:val="24"/>
      <w:lang w:val="ru-RU" w:eastAsia="zh-CN" w:bidi="hi-IN"/>
    </w:rPr>
  </w:style>
  <w:style w:type="character" w:styleId="Hyperlink">
    <w:name w:val="Hyperlink"/>
    <w:rPr>
      <w:color w:val="000080"/>
      <w:u w:val="single"/>
    </w:rPr>
  </w:style>
  <w:style w:type="character" w:styleId="5">
    <w:name w:val="Основной текст (5)"/>
    <w:qFormat/>
    <w:rPr>
      <w:b/>
      <w:bCs/>
      <w:i/>
      <w:iCs/>
      <w:sz w:val="23"/>
      <w:szCs w:val="23"/>
      <w:u w:val="single"/>
      <w:shd w:fill="FFFFFF" w:val="clear"/>
      <w:lang w:bidi="ar-SA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start="720"/>
      <w:contextualSpacing/>
    </w:pPr>
    <w:rPr>
      <w:rFonts w:ascii="Calibri" w:hAnsi="Calibri" w:eastAsia="Times New Roman" w:cs="Times New Roman"/>
      <w:color w:val="auto"/>
      <w:sz w:val="22"/>
      <w:szCs w:val="22"/>
      <w:lang w:bidi="ar-SA"/>
    </w:rPr>
  </w:style>
  <w:style w:type="paragraph" w:styleId="Style16">
    <w:name w:val="Обычный текст"/>
    <w:basedOn w:val="Normal"/>
    <w:qFormat/>
    <w:pPr>
      <w:ind w:firstLine="709"/>
      <w:jc w:val="both"/>
    </w:pPr>
    <w:rPr>
      <w:sz w:val="24"/>
      <w:szCs w:val="24"/>
      <w:lang w:val="en-US" w:eastAsia="ar-SA" w:bidi="en-US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120" w:after="0"/>
      <w:ind w:firstLine="720" w:start="221" w:end="19772"/>
      <w:jc w:val="both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odyTextIndent3">
    <w:name w:val="Body Text Indent 3"/>
    <w:basedOn w:val="Normal"/>
    <w:qFormat/>
    <w:pPr>
      <w:spacing w:lineRule="auto" w:line="276" w:before="0" w:after="120"/>
      <w:ind w:start="283"/>
    </w:pPr>
    <w:rPr>
      <w:rFonts w:ascii="Calibri" w:hAnsi="Calibri"/>
      <w:sz w:val="16"/>
      <w:szCs w:val="16"/>
    </w:rPr>
  </w:style>
  <w:style w:type="paragraph" w:styleId="Iauiue">
    <w:name w:val="Iau?iue"/>
    <w:qFormat/>
    <w:pPr>
      <w:widowControl w:val="false"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ru-RU"/>
    </w:rPr>
  </w:style>
  <w:style w:type="paragraph" w:styleId="Style17">
    <w:name w:val="Генплан подглава"/>
    <w:basedOn w:val="Normal"/>
    <w:qFormat/>
    <w:pPr>
      <w:spacing w:lineRule="auto" w:line="360" w:before="0" w:after="200"/>
      <w:ind w:firstLine="709"/>
      <w:jc w:val="both"/>
    </w:pPr>
    <w:rPr>
      <w:b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berbank-ast.ru/" TargetMode="External"/><Relationship Id="rId3" Type="http://schemas.openxmlformats.org/officeDocument/2006/relationships/hyperlink" Target="http://www.sberbank-ast.ru/" TargetMode="External"/><Relationship Id="rId4" Type="http://schemas.openxmlformats.org/officeDocument/2006/relationships/hyperlink" Target="http://www.sberbank-ast.ru/" TargetMode="External"/><Relationship Id="rId5" Type="http://schemas.openxmlformats.org/officeDocument/2006/relationships/hyperlink" Target="http://www.new.torgi.gov.ru/" TargetMode="External"/><Relationship Id="rId6" Type="http://schemas.openxmlformats.org/officeDocument/2006/relationships/hyperlink" Target="http://www.new.torgi.gov.ru/" TargetMode="External"/><Relationship Id="rId7" Type="http://schemas.openxmlformats.org/officeDocument/2006/relationships/hyperlink" Target="http://www.sberbank-ast.ru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LibreOffice/7.6.2.1$Windows_X86_64 LibreOffice_project/56f7684011345957bbf33a7ee678afaf4d2ba333</Application>
  <AppVersion>15.0000</AppVersion>
  <Pages>8</Pages>
  <Words>2040</Words>
  <Characters>14440</Characters>
  <CharactersWithSpaces>16444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2024-01-17T15:01:10Z</dcterms:created>
  <dc:creator/>
  <dc:description/>
  <dc:language>ru-RU</dc:language>
  <cp:lastModifiedBy/>
  <dcterms:modified xsi:type="dcterms:W3CDTF">2024-02-27T15:27:17Z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