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993FBA" w:rsidRPr="00993FBA" w:rsidTr="00993FBA">
        <w:tc>
          <w:tcPr>
            <w:tcW w:w="4785" w:type="dxa"/>
          </w:tcPr>
          <w:p w:rsidR="00993FBA" w:rsidRPr="00993FBA"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993FBA" w:rsidRPr="00993FBA" w:rsidRDefault="00993FBA" w:rsidP="00440507">
            <w:pPr>
              <w:widowControl/>
              <w:spacing w:before="2"/>
              <w:ind w:right="227"/>
              <w:jc w:val="both"/>
              <w:rPr>
                <w:rFonts w:ascii="Times New Roman" w:eastAsia="TimesNewRomanPSMT" w:hAnsi="Times New Roman" w:cs="Times New Roman"/>
                <w:color w:val="auto"/>
                <w:sz w:val="28"/>
                <w:szCs w:val="28"/>
                <w:lang w:bidi="ar-SA"/>
              </w:rPr>
            </w:pPr>
          </w:p>
        </w:tc>
      </w:tr>
    </w:tbl>
    <w:p w:rsidR="00993FBA" w:rsidRPr="00993FBA" w:rsidRDefault="00993FBA" w:rsidP="00993FBA">
      <w:pPr>
        <w:widowControl/>
        <w:spacing w:line="0" w:lineRule="atLeast"/>
        <w:jc w:val="both"/>
        <w:rPr>
          <w:rFonts w:ascii="Times New Roman" w:eastAsia="TimesNewRomanPSMT" w:hAnsi="Times New Roman" w:cs="Times New Roman"/>
          <w:sz w:val="28"/>
          <w:szCs w:val="28"/>
          <w:lang w:bidi="ar-SA"/>
        </w:rPr>
      </w:pPr>
    </w:p>
    <w:tbl>
      <w:tblPr>
        <w:tblW w:w="0" w:type="auto"/>
        <w:tblLook w:val="04A0" w:firstRow="1" w:lastRow="0" w:firstColumn="1" w:lastColumn="0" w:noHBand="0" w:noVBand="1"/>
      </w:tblPr>
      <w:tblGrid>
        <w:gridCol w:w="4785"/>
        <w:gridCol w:w="4786"/>
      </w:tblGrid>
      <w:tr w:rsidR="000250A7" w:rsidRPr="00993FBA" w:rsidTr="00E409B0">
        <w:tc>
          <w:tcPr>
            <w:tcW w:w="4785" w:type="dxa"/>
          </w:tcPr>
          <w:p w:rsidR="000250A7" w:rsidRPr="00993FBA" w:rsidRDefault="000250A7" w:rsidP="00E409B0">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0250A7" w:rsidRPr="00993FBA" w:rsidRDefault="000250A7" w:rsidP="000250A7">
            <w:pPr>
              <w:widowControl/>
              <w:spacing w:before="2"/>
              <w:ind w:right="227"/>
              <w:jc w:val="both"/>
              <w:rPr>
                <w:rFonts w:ascii="Times New Roman" w:eastAsia="TimesNewRomanPSMT" w:hAnsi="Times New Roman" w:cs="Times New Roman"/>
                <w:color w:val="auto"/>
                <w:sz w:val="28"/>
                <w:szCs w:val="28"/>
                <w:lang w:bidi="ar-SA"/>
              </w:rPr>
            </w:pPr>
          </w:p>
        </w:tc>
      </w:tr>
    </w:tbl>
    <w:p w:rsidR="000250A7" w:rsidRPr="00993FBA" w:rsidRDefault="000250A7" w:rsidP="000250A7">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color w:val="26282F"/>
          <w:lang w:bidi="ar-SA"/>
        </w:rPr>
        <w:t>2</w:t>
      </w:r>
    </w:p>
    <w:p w:rsidR="000250A7" w:rsidRPr="00993FBA" w:rsidRDefault="000250A7" w:rsidP="000250A7">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0250A7" w:rsidRPr="00993FBA" w:rsidRDefault="000250A7" w:rsidP="000250A7">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0250A7" w:rsidRPr="00993FBA" w:rsidRDefault="000250A7" w:rsidP="000250A7">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населенных пунктов</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1600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120514</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218</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с. Запрудное, ул. Животноводов, земельный участок 2</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w:t>
      </w:r>
      <w:r>
        <w:rPr>
          <w:rFonts w:ascii="Times New Roman" w:eastAsia="Calibri" w:hAnsi="Times New Roman" w:cs="Times New Roman"/>
          <w:color w:val="auto"/>
          <w:sz w:val="28"/>
          <w:szCs w:val="28"/>
          <w:lang w:eastAsia="en-US" w:bidi="ar-SA"/>
        </w:rPr>
        <w:tab/>
        <w:t xml:space="preserve"> продукции</w:t>
      </w:r>
      <w:r w:rsidRPr="00993FBA">
        <w:rPr>
          <w:rFonts w:ascii="Times New Roman" w:eastAsia="Calibri" w:hAnsi="Times New Roman" w:cs="Times New Roman"/>
          <w:color w:val="auto"/>
          <w:sz w:val="28"/>
          <w:szCs w:val="28"/>
          <w:lang w:eastAsia="en-US" w:bidi="ar-SA"/>
        </w:rPr>
        <w:t>.</w:t>
      </w:r>
    </w:p>
    <w:p w:rsidR="000250A7" w:rsidRPr="00814085"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Строения, сооружения на земельном участке, указанном в п.п. 1.1 отсутствуют.</w:t>
      </w:r>
    </w:p>
    <w:p w:rsidR="000250A7" w:rsidRPr="00993FBA" w:rsidRDefault="000250A7" w:rsidP="000250A7">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0250A7" w:rsidRPr="00993FBA" w:rsidRDefault="000250A7" w:rsidP="000250A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w:t>
      </w:r>
      <w:r w:rsidRPr="00993FBA">
        <w:rPr>
          <w:rFonts w:ascii="Times New Roman" w:eastAsia="Calibri" w:hAnsi="Times New Roman" w:cs="Times New Roman"/>
          <w:color w:val="auto"/>
          <w:sz w:val="28"/>
          <w:szCs w:val="28"/>
          <w:lang w:eastAsia="en-US" w:bidi="ar-SA"/>
        </w:rPr>
        <w:lastRenderedPageBreak/>
        <w:t xml:space="preserve">оформившего платеж, код бюджетной классификации, показатель кода ОКТМО, точное назначение платежа, реквизиты Договора (номер, дата). При </w:t>
      </w:r>
    </w:p>
    <w:p w:rsidR="000250A7" w:rsidRPr="00993FBA" w:rsidRDefault="000250A7" w:rsidP="000250A7">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0250A7" w:rsidRPr="00993FBA" w:rsidRDefault="000250A7" w:rsidP="000250A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0250A7" w:rsidRPr="009243C7" w:rsidRDefault="000250A7" w:rsidP="000250A7">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0250A7" w:rsidRPr="00993FBA" w:rsidRDefault="000250A7" w:rsidP="000250A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0250A7"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0250A7" w:rsidRPr="00993FBA" w:rsidRDefault="000250A7" w:rsidP="000250A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0250A7" w:rsidRPr="00814085"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250A7" w:rsidRPr="00993FBA" w:rsidRDefault="000250A7" w:rsidP="000250A7">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0250A7" w:rsidRPr="00993FBA" w:rsidRDefault="000250A7" w:rsidP="000250A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0250A7" w:rsidRPr="00993FBA" w:rsidRDefault="000250A7" w:rsidP="000250A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0250A7" w:rsidRPr="00993FBA" w:rsidRDefault="000250A7" w:rsidP="000250A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0250A7" w:rsidRPr="00993FBA" w:rsidRDefault="000250A7" w:rsidP="000250A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1) когда арендатор использовал земельный участок не в соответствии с его целевым назначением и категорией земли;</w:t>
      </w:r>
    </w:p>
    <w:p w:rsidR="000250A7" w:rsidRPr="00993FBA" w:rsidRDefault="000250A7" w:rsidP="000250A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0250A7" w:rsidRPr="00993FBA" w:rsidRDefault="000250A7" w:rsidP="000250A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0250A7" w:rsidRPr="00993FBA" w:rsidRDefault="000250A7" w:rsidP="000250A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0250A7" w:rsidRPr="00993FBA" w:rsidRDefault="000250A7" w:rsidP="000250A7">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0250A7" w:rsidRPr="00993FBA" w:rsidRDefault="000250A7" w:rsidP="000250A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0250A7" w:rsidRPr="00993FBA" w:rsidRDefault="000250A7" w:rsidP="000250A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0250A7" w:rsidRPr="00993FBA" w:rsidRDefault="000250A7" w:rsidP="000250A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0250A7" w:rsidRPr="00993FBA" w:rsidRDefault="000250A7" w:rsidP="000250A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0250A7" w:rsidRPr="00993FBA" w:rsidRDefault="000250A7" w:rsidP="000250A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0250A7" w:rsidRPr="00993FBA" w:rsidRDefault="000250A7" w:rsidP="000250A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0250A7" w:rsidRPr="00993FBA" w:rsidRDefault="000250A7" w:rsidP="000250A7">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0250A7" w:rsidRPr="00993FBA" w:rsidRDefault="000250A7" w:rsidP="000250A7">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0250A7" w:rsidRPr="00993FBA" w:rsidRDefault="000250A7" w:rsidP="000250A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0250A7" w:rsidRPr="00993FBA" w:rsidRDefault="000250A7" w:rsidP="000250A7">
      <w:pPr>
        <w:widowControl/>
        <w:spacing w:after="120"/>
        <w:jc w:val="center"/>
        <w:rPr>
          <w:rFonts w:ascii="Times New Roman" w:eastAsia="Times New Roman" w:hAnsi="Times New Roman" w:cs="Times New Roman"/>
          <w:b/>
          <w:color w:val="auto"/>
          <w:sz w:val="28"/>
          <w:szCs w:val="20"/>
          <w:lang w:bidi="ar-SA"/>
        </w:rPr>
      </w:pPr>
    </w:p>
    <w:p w:rsidR="000250A7" w:rsidRPr="00993FBA" w:rsidRDefault="000250A7" w:rsidP="000250A7">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0250A7" w:rsidRPr="00993FBA" w:rsidTr="00E409B0">
        <w:trPr>
          <w:cantSplit/>
          <w:trHeight w:val="292"/>
        </w:trPr>
        <w:tc>
          <w:tcPr>
            <w:tcW w:w="15668" w:type="dxa"/>
            <w:gridSpan w:val="4"/>
            <w:tcBorders>
              <w:top w:val="nil"/>
              <w:left w:val="nil"/>
              <w:bottom w:val="nil"/>
              <w:right w:val="nil"/>
            </w:tcBorders>
          </w:tcPr>
          <w:p w:rsidR="000250A7" w:rsidRPr="00993FBA" w:rsidRDefault="000250A7" w:rsidP="00E409B0">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0250A7" w:rsidRPr="00993FBA" w:rsidRDefault="000250A7" w:rsidP="00E409B0">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0250A7" w:rsidRPr="00993FBA" w:rsidTr="00E409B0">
        <w:trPr>
          <w:gridBefore w:val="1"/>
          <w:gridAfter w:val="2"/>
          <w:wBefore w:w="108" w:type="dxa"/>
          <w:wAfter w:w="18710" w:type="dxa"/>
          <w:cantSplit/>
          <w:trHeight w:val="292"/>
        </w:trPr>
        <w:tc>
          <w:tcPr>
            <w:tcW w:w="5311" w:type="dxa"/>
            <w:tcBorders>
              <w:top w:val="nil"/>
              <w:left w:val="nil"/>
              <w:bottom w:val="nil"/>
              <w:right w:val="nil"/>
            </w:tcBorders>
          </w:tcPr>
          <w:p w:rsidR="000250A7" w:rsidRPr="00993FBA" w:rsidRDefault="000250A7"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0250A7" w:rsidRPr="00993FBA" w:rsidRDefault="000250A7"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0250A7" w:rsidRPr="00993FBA" w:rsidTr="00E409B0">
        <w:trPr>
          <w:gridBefore w:val="1"/>
          <w:gridAfter w:val="2"/>
          <w:wBefore w:w="108" w:type="dxa"/>
          <w:wAfter w:w="18710" w:type="dxa"/>
          <w:cantSplit/>
          <w:trHeight w:val="1472"/>
        </w:trPr>
        <w:tc>
          <w:tcPr>
            <w:tcW w:w="5311" w:type="dxa"/>
            <w:tcBorders>
              <w:top w:val="nil"/>
              <w:left w:val="nil"/>
              <w:bottom w:val="nil"/>
              <w:right w:val="nil"/>
            </w:tcBorders>
          </w:tcPr>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lastRenderedPageBreak/>
              <w:t xml:space="preserve">Администрация Питерского </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0250A7" w:rsidRPr="00993FBA" w:rsidRDefault="000250A7" w:rsidP="00E409B0">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0250A7" w:rsidRPr="00993FBA" w:rsidRDefault="000250A7" w:rsidP="00E409B0">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0250A7" w:rsidRPr="00993FBA" w:rsidRDefault="000250A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0250A7" w:rsidRPr="00993FBA" w:rsidRDefault="000250A7" w:rsidP="000250A7">
      <w:pPr>
        <w:widowControl/>
        <w:jc w:val="center"/>
        <w:rPr>
          <w:rFonts w:ascii="Times New Roman" w:eastAsia="Calibri" w:hAnsi="Times New Roman" w:cs="Times New Roman"/>
          <w:lang w:eastAsia="en-US" w:bidi="ar-SA"/>
        </w:rPr>
      </w:pPr>
    </w:p>
    <w:p w:rsidR="000250A7" w:rsidRPr="00993FBA" w:rsidRDefault="000250A7" w:rsidP="000250A7">
      <w:pPr>
        <w:widowControl/>
        <w:spacing w:after="200" w:line="276" w:lineRule="auto"/>
        <w:rPr>
          <w:rFonts w:ascii="Calibri" w:eastAsia="Times New Roman" w:hAnsi="Calibri" w:cs="Times New Roman"/>
          <w:color w:val="auto"/>
          <w:sz w:val="22"/>
          <w:szCs w:val="22"/>
          <w:lang w:bidi="ar-SA"/>
        </w:rPr>
      </w:pPr>
    </w:p>
    <w:p w:rsidR="000250A7" w:rsidRPr="00993FBA" w:rsidRDefault="000250A7" w:rsidP="000250A7">
      <w:pPr>
        <w:widowControl/>
        <w:autoSpaceDE w:val="0"/>
        <w:autoSpaceDN w:val="0"/>
        <w:adjustRightInd w:val="0"/>
        <w:spacing w:before="108" w:after="108"/>
        <w:jc w:val="center"/>
        <w:outlineLvl w:val="0"/>
        <w:rPr>
          <w:rFonts w:ascii="Calibri" w:eastAsia="Times New Roman" w:hAnsi="Calibri" w:cs="Times New Roman"/>
          <w:color w:val="auto"/>
          <w:sz w:val="22"/>
          <w:szCs w:val="22"/>
          <w:lang w:bidi="ar-SA"/>
        </w:rPr>
      </w:pPr>
    </w:p>
    <w:p w:rsidR="000250A7" w:rsidRPr="00993FBA"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Pr="00993FBA"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Pr="00993FBA"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Pr="00993FBA" w:rsidRDefault="000250A7" w:rsidP="000250A7">
      <w:pPr>
        <w:widowControl/>
        <w:tabs>
          <w:tab w:val="left" w:pos="1875"/>
        </w:tabs>
        <w:spacing w:line="276" w:lineRule="auto"/>
        <w:rPr>
          <w:rFonts w:ascii="Times New Roman" w:eastAsia="Times New Roman" w:hAnsi="Times New Roman" w:cs="Times New Roman"/>
          <w:color w:val="auto"/>
          <w:lang w:bidi="ar-SA"/>
        </w:rPr>
      </w:pPr>
    </w:p>
    <w:p w:rsidR="000250A7" w:rsidRPr="00993FBA" w:rsidRDefault="000250A7" w:rsidP="000250A7">
      <w:pPr>
        <w:widowControl/>
        <w:tabs>
          <w:tab w:val="left" w:pos="1875"/>
        </w:tabs>
        <w:spacing w:line="276" w:lineRule="auto"/>
        <w:rPr>
          <w:rFonts w:ascii="Times New Roman" w:eastAsia="Times New Roman" w:hAnsi="Times New Roman" w:cs="Times New Roman"/>
          <w:color w:val="auto"/>
          <w:lang w:bidi="ar-SA"/>
        </w:rPr>
      </w:pPr>
      <w:bookmarkStart w:id="0" w:name="_GoBack"/>
      <w:bookmarkEnd w:id="0"/>
    </w:p>
    <w:sectPr w:rsidR="000250A7" w:rsidRPr="00993FBA" w:rsidSect="000250A7">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90C" w:rsidRDefault="00E6090C" w:rsidP="007A67AD">
      <w:r>
        <w:separator/>
      </w:r>
    </w:p>
  </w:endnote>
  <w:endnote w:type="continuationSeparator" w:id="0">
    <w:p w:rsidR="00E6090C" w:rsidRDefault="00E6090C"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90C" w:rsidRDefault="00E6090C"/>
  </w:footnote>
  <w:footnote w:type="continuationSeparator" w:id="0">
    <w:p w:rsidR="00E6090C" w:rsidRDefault="00E609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50A7"/>
    <w:rsid w:val="0002698C"/>
    <w:rsid w:val="00106F13"/>
    <w:rsid w:val="00113731"/>
    <w:rsid w:val="00212C25"/>
    <w:rsid w:val="00274156"/>
    <w:rsid w:val="002751A4"/>
    <w:rsid w:val="00306843"/>
    <w:rsid w:val="00324970"/>
    <w:rsid w:val="003A1E5F"/>
    <w:rsid w:val="003D7C8C"/>
    <w:rsid w:val="00440507"/>
    <w:rsid w:val="004A0AD9"/>
    <w:rsid w:val="0050795C"/>
    <w:rsid w:val="005A62C5"/>
    <w:rsid w:val="00612FD3"/>
    <w:rsid w:val="006F061B"/>
    <w:rsid w:val="00721E35"/>
    <w:rsid w:val="00777164"/>
    <w:rsid w:val="007A67AD"/>
    <w:rsid w:val="007B1D9A"/>
    <w:rsid w:val="007C21D8"/>
    <w:rsid w:val="00814085"/>
    <w:rsid w:val="008D3835"/>
    <w:rsid w:val="008E2BAB"/>
    <w:rsid w:val="009243C7"/>
    <w:rsid w:val="0094006C"/>
    <w:rsid w:val="00993FBA"/>
    <w:rsid w:val="009B68B8"/>
    <w:rsid w:val="009D2DA4"/>
    <w:rsid w:val="00A657E4"/>
    <w:rsid w:val="00B22B75"/>
    <w:rsid w:val="00B237D4"/>
    <w:rsid w:val="00B67FD7"/>
    <w:rsid w:val="00B76F7B"/>
    <w:rsid w:val="00C63869"/>
    <w:rsid w:val="00CB7FD4"/>
    <w:rsid w:val="00CF6548"/>
    <w:rsid w:val="00D57FBD"/>
    <w:rsid w:val="00D67A8E"/>
    <w:rsid w:val="00D828D7"/>
    <w:rsid w:val="00D900BE"/>
    <w:rsid w:val="00D90C8B"/>
    <w:rsid w:val="00DE282E"/>
    <w:rsid w:val="00E43718"/>
    <w:rsid w:val="00E6090C"/>
    <w:rsid w:val="00EB3A0A"/>
    <w:rsid w:val="00EB451C"/>
    <w:rsid w:val="00EB521F"/>
    <w:rsid w:val="00EF3554"/>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5</Pages>
  <Words>1668</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cp:lastPrinted>2023-03-30T11:34:00Z</cp:lastPrinted>
  <dcterms:created xsi:type="dcterms:W3CDTF">2023-03-10T11:38:00Z</dcterms:created>
  <dcterms:modified xsi:type="dcterms:W3CDTF">2023-05-24T06:45:00Z</dcterms:modified>
</cp:coreProperties>
</file>