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BA" w:rsidRPr="00993FBA" w:rsidRDefault="00993FBA" w:rsidP="00993FBA">
      <w:pPr>
        <w:widowControl/>
        <w:spacing w:line="0" w:lineRule="atLeast"/>
        <w:jc w:val="both"/>
        <w:rPr>
          <w:rFonts w:ascii="Times New Roman" w:eastAsia="TimesNewRomanPSMT" w:hAnsi="Times New Roman" w:cs="Times New Roman"/>
          <w:sz w:val="28"/>
          <w:szCs w:val="28"/>
          <w:lang w:bidi="ar-SA"/>
        </w:rPr>
      </w:pPr>
    </w:p>
    <w:tbl>
      <w:tblPr>
        <w:tblW w:w="0" w:type="auto"/>
        <w:tblLook w:val="04A0" w:firstRow="1" w:lastRow="0" w:firstColumn="1" w:lastColumn="0" w:noHBand="0" w:noVBand="1"/>
      </w:tblPr>
      <w:tblGrid>
        <w:gridCol w:w="218"/>
        <w:gridCol w:w="9630"/>
      </w:tblGrid>
      <w:tr w:rsidR="00993FBA" w:rsidRPr="00993FBA" w:rsidTr="00401589">
        <w:trPr>
          <w:trHeight w:val="1702"/>
        </w:trPr>
        <w:tc>
          <w:tcPr>
            <w:tcW w:w="218" w:type="dxa"/>
          </w:tcPr>
          <w:p w:rsidR="00993FBA" w:rsidRPr="00993FBA"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c>
          <w:tcPr>
            <w:tcW w:w="9630" w:type="dxa"/>
          </w:tcPr>
          <w:tbl>
            <w:tblPr>
              <w:tblW w:w="0" w:type="auto"/>
              <w:tblLook w:val="04A0" w:firstRow="1" w:lastRow="0" w:firstColumn="1" w:lastColumn="0" w:noHBand="0" w:noVBand="1"/>
            </w:tblPr>
            <w:tblGrid>
              <w:gridCol w:w="4707"/>
              <w:gridCol w:w="4707"/>
            </w:tblGrid>
            <w:tr w:rsidR="00212C25" w:rsidRPr="00993FBA" w:rsidTr="0094006C">
              <w:tc>
                <w:tcPr>
                  <w:tcW w:w="4785" w:type="dxa"/>
                </w:tcPr>
                <w:p w:rsidR="00212C25" w:rsidRPr="00993FBA" w:rsidRDefault="00212C25" w:rsidP="00212C25">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212C25" w:rsidRPr="00993FBA" w:rsidRDefault="00212C25" w:rsidP="00401589">
                  <w:pPr>
                    <w:widowControl/>
                    <w:spacing w:before="2"/>
                    <w:ind w:right="227"/>
                    <w:jc w:val="both"/>
                    <w:rPr>
                      <w:rFonts w:ascii="Times New Roman" w:eastAsia="TimesNewRomanPSMT" w:hAnsi="Times New Roman" w:cs="Times New Roman"/>
                      <w:color w:val="auto"/>
                      <w:sz w:val="28"/>
                      <w:szCs w:val="28"/>
                      <w:lang w:bidi="ar-SA"/>
                    </w:rPr>
                  </w:pPr>
                </w:p>
              </w:tc>
            </w:tr>
          </w:tbl>
          <w:p w:rsidR="00212C25" w:rsidRPr="00993FBA" w:rsidRDefault="00212C25" w:rsidP="00212C25">
            <w:pPr>
              <w:widowControl/>
              <w:spacing w:line="0" w:lineRule="atLeast"/>
              <w:jc w:val="both"/>
              <w:rPr>
                <w:rFonts w:ascii="Times New Roman" w:eastAsia="TimesNewRomanPSMT" w:hAnsi="Times New Roman" w:cs="Times New Roman"/>
                <w:sz w:val="28"/>
                <w:szCs w:val="28"/>
                <w:lang w:bidi="ar-SA"/>
              </w:rPr>
            </w:pPr>
          </w:p>
          <w:p w:rsidR="00212C25" w:rsidRPr="00993FBA" w:rsidRDefault="00212C25" w:rsidP="00212C25">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3</w:t>
            </w:r>
          </w:p>
          <w:p w:rsidR="00212C25" w:rsidRPr="00993FBA" w:rsidRDefault="00212C25" w:rsidP="00212C25">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212C25" w:rsidRPr="00993FBA" w:rsidRDefault="00212C25" w:rsidP="00212C25">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212C25" w:rsidRPr="00993FBA" w:rsidRDefault="00212C25" w:rsidP="00212C25">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133000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040301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38</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 xml:space="preserve">в 8,5 </w:t>
            </w:r>
            <w:r w:rsidR="009243C7">
              <w:rPr>
                <w:rFonts w:ascii="Times New Roman" w:eastAsia="Calibri" w:hAnsi="Times New Roman" w:cs="Times New Roman"/>
                <w:color w:val="auto"/>
                <w:sz w:val="28"/>
                <w:szCs w:val="28"/>
                <w:lang w:eastAsia="en-US" w:bidi="ar-SA"/>
              </w:rPr>
              <w:t>км северо-восточнее п. Новорече</w:t>
            </w:r>
            <w:r>
              <w:rPr>
                <w:rFonts w:ascii="Times New Roman" w:eastAsia="Calibri" w:hAnsi="Times New Roman" w:cs="Times New Roman"/>
                <w:color w:val="auto"/>
                <w:sz w:val="28"/>
                <w:szCs w:val="28"/>
                <w:lang w:eastAsia="en-US" w:bidi="ar-SA"/>
              </w:rPr>
              <w:t>н</w:t>
            </w:r>
            <w:r w:rsidR="009243C7">
              <w:rPr>
                <w:rFonts w:ascii="Times New Roman" w:eastAsia="Calibri" w:hAnsi="Times New Roman" w:cs="Times New Roman"/>
                <w:color w:val="auto"/>
                <w:sz w:val="28"/>
                <w:szCs w:val="28"/>
                <w:lang w:eastAsia="en-US" w:bidi="ar-SA"/>
              </w:rPr>
              <w:t>с</w:t>
            </w:r>
            <w:r>
              <w:rPr>
                <w:rFonts w:ascii="Times New Roman" w:eastAsia="Calibri" w:hAnsi="Times New Roman" w:cs="Times New Roman"/>
                <w:color w:val="auto"/>
                <w:sz w:val="28"/>
                <w:szCs w:val="28"/>
                <w:lang w:eastAsia="en-US" w:bidi="ar-SA"/>
              </w:rPr>
              <w:t>кий</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рыбоводство</w:t>
            </w:r>
            <w:r w:rsidRPr="00993FBA">
              <w:rPr>
                <w:rFonts w:ascii="Times New Roman" w:eastAsia="Calibri" w:hAnsi="Times New Roman" w:cs="Times New Roman"/>
                <w:color w:val="auto"/>
                <w:sz w:val="28"/>
                <w:szCs w:val="28"/>
                <w:lang w:eastAsia="en-US" w:bidi="ar-SA"/>
              </w:rPr>
              <w:t>.</w:t>
            </w:r>
          </w:p>
          <w:p w:rsidR="00212C25" w:rsidRPr="00814085"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Строения, сооружения на земельном участке, указанном в п.п. 1.1 отсутствуют.</w:t>
            </w:r>
          </w:p>
          <w:p w:rsidR="00212C25" w:rsidRPr="00993FBA" w:rsidRDefault="00212C25" w:rsidP="00212C25">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212C25" w:rsidRPr="00993FBA" w:rsidRDefault="00212C25" w:rsidP="00212C2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212C25" w:rsidRPr="00993FBA" w:rsidRDefault="00212C25" w:rsidP="009243C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w:t>
            </w:r>
            <w:r w:rsidRPr="00993FBA">
              <w:rPr>
                <w:rFonts w:ascii="Times New Roman" w:eastAsia="Calibri" w:hAnsi="Times New Roman" w:cs="Times New Roman"/>
                <w:color w:val="auto"/>
                <w:sz w:val="28"/>
                <w:szCs w:val="28"/>
                <w:lang w:eastAsia="en-US" w:bidi="ar-SA"/>
              </w:rPr>
              <w:lastRenderedPageBreak/>
              <w:t>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212C25" w:rsidRPr="00993FBA" w:rsidRDefault="00212C25" w:rsidP="00212C2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12C25" w:rsidRPr="009243C7" w:rsidRDefault="00212C25" w:rsidP="009243C7">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sidR="009243C7">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212C25" w:rsidRPr="00993FBA" w:rsidRDefault="00212C25" w:rsidP="00212C2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212C25"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212C25" w:rsidRPr="00374665" w:rsidRDefault="00212C25" w:rsidP="00212C25">
            <w:pPr>
              <w:pStyle w:val="a4"/>
              <w:ind w:firstLine="426"/>
              <w:jc w:val="both"/>
              <w:rPr>
                <w:rFonts w:ascii="Times New Roman" w:hAnsi="Times New Roman"/>
                <w:sz w:val="28"/>
                <w:szCs w:val="28"/>
              </w:rPr>
            </w:pPr>
            <w:r w:rsidRPr="00374665">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212C25" w:rsidRPr="00374665" w:rsidRDefault="00212C25" w:rsidP="00212C25">
            <w:pPr>
              <w:pStyle w:val="a4"/>
              <w:ind w:firstLine="426"/>
              <w:jc w:val="both"/>
              <w:rPr>
                <w:rFonts w:ascii="Times New Roman" w:hAnsi="Times New Roman"/>
                <w:sz w:val="28"/>
                <w:szCs w:val="28"/>
              </w:rPr>
            </w:pPr>
            <w:r w:rsidRPr="00374665">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212C25" w:rsidRPr="00993FBA" w:rsidRDefault="00212C25" w:rsidP="00212C2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212C25" w:rsidRPr="00814085"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12C25" w:rsidRPr="00993FBA" w:rsidRDefault="00212C25" w:rsidP="00212C25">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lastRenderedPageBreak/>
              <w:t>7. Изменение, расторжение и прекращение Договора</w:t>
            </w:r>
          </w:p>
          <w:p w:rsidR="00212C25" w:rsidRPr="00993FBA" w:rsidRDefault="00212C25" w:rsidP="00212C2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212C25" w:rsidRPr="00993FBA" w:rsidRDefault="00212C25" w:rsidP="00212C2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212C25" w:rsidRPr="00993FBA" w:rsidRDefault="00212C25" w:rsidP="00212C2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212C25" w:rsidRPr="00993FBA" w:rsidRDefault="00212C25" w:rsidP="00212C2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212C25" w:rsidRPr="00993FBA" w:rsidRDefault="00212C25" w:rsidP="00212C2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212C25" w:rsidRPr="00993FBA" w:rsidRDefault="00212C25" w:rsidP="00212C2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212C25" w:rsidRPr="00993FBA" w:rsidRDefault="00212C25" w:rsidP="00212C25">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212C25" w:rsidRPr="00993FBA" w:rsidRDefault="00212C25" w:rsidP="00212C25">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212C25" w:rsidRPr="00993FBA" w:rsidRDefault="00212C25" w:rsidP="00212C2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212C25" w:rsidRPr="00993FBA" w:rsidRDefault="00212C25" w:rsidP="00212C2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212C25" w:rsidRPr="00993FBA" w:rsidRDefault="00212C25" w:rsidP="00212C2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212C25" w:rsidRPr="00993FBA" w:rsidRDefault="00212C25" w:rsidP="00212C2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212C25" w:rsidRPr="00993FBA" w:rsidRDefault="00212C25" w:rsidP="00212C2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212C25" w:rsidRPr="00993FBA" w:rsidRDefault="00212C25" w:rsidP="00212C2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212C25" w:rsidRPr="00993FBA" w:rsidRDefault="00212C25" w:rsidP="00212C25">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212C25" w:rsidRPr="00993FBA" w:rsidRDefault="00212C25" w:rsidP="00212C25">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9.3. При досрочном расторжении Договора договор субаренды земельного </w:t>
            </w:r>
            <w:r w:rsidRPr="00993FBA">
              <w:rPr>
                <w:rFonts w:ascii="Times New Roman" w:eastAsia="Calibri" w:hAnsi="Times New Roman" w:cs="Times New Roman"/>
                <w:color w:val="auto"/>
                <w:sz w:val="28"/>
                <w:szCs w:val="28"/>
                <w:lang w:eastAsia="en-US" w:bidi="ar-SA"/>
              </w:rPr>
              <w:lastRenderedPageBreak/>
              <w:t>участка прекращает свое действие.</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212C25" w:rsidRPr="00993FBA" w:rsidRDefault="00212C25" w:rsidP="00212C2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212C25" w:rsidRPr="00993FBA" w:rsidRDefault="00212C25" w:rsidP="00212C25">
            <w:pPr>
              <w:widowControl/>
              <w:spacing w:after="120"/>
              <w:jc w:val="center"/>
              <w:rPr>
                <w:rFonts w:ascii="Times New Roman" w:eastAsia="Times New Roman" w:hAnsi="Times New Roman" w:cs="Times New Roman"/>
                <w:b/>
                <w:color w:val="auto"/>
                <w:sz w:val="28"/>
                <w:szCs w:val="20"/>
                <w:lang w:bidi="ar-SA"/>
              </w:rPr>
            </w:pPr>
          </w:p>
          <w:p w:rsidR="00212C25" w:rsidRPr="00993FBA" w:rsidRDefault="00212C25" w:rsidP="00212C25">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212C25" w:rsidRPr="00993FBA" w:rsidTr="0094006C">
              <w:trPr>
                <w:cantSplit/>
                <w:trHeight w:val="292"/>
              </w:trPr>
              <w:tc>
                <w:tcPr>
                  <w:tcW w:w="15668" w:type="dxa"/>
                  <w:gridSpan w:val="4"/>
                  <w:tcBorders>
                    <w:top w:val="nil"/>
                    <w:left w:val="nil"/>
                    <w:bottom w:val="nil"/>
                    <w:right w:val="nil"/>
                  </w:tcBorders>
                </w:tcPr>
                <w:p w:rsidR="00212C25" w:rsidRPr="00993FBA" w:rsidRDefault="00212C25" w:rsidP="00212C25">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212C25" w:rsidRPr="00993FBA" w:rsidRDefault="00212C25" w:rsidP="00212C25">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212C25" w:rsidRPr="00993FBA" w:rsidTr="0094006C">
              <w:trPr>
                <w:gridBefore w:val="1"/>
                <w:gridAfter w:val="2"/>
                <w:wBefore w:w="108" w:type="dxa"/>
                <w:wAfter w:w="18710" w:type="dxa"/>
                <w:cantSplit/>
                <w:trHeight w:val="292"/>
              </w:trPr>
              <w:tc>
                <w:tcPr>
                  <w:tcW w:w="5311" w:type="dxa"/>
                  <w:tcBorders>
                    <w:top w:val="nil"/>
                    <w:left w:val="nil"/>
                    <w:bottom w:val="nil"/>
                    <w:right w:val="nil"/>
                  </w:tcBorders>
                </w:tcPr>
                <w:p w:rsidR="00212C25" w:rsidRPr="00993FBA" w:rsidRDefault="00212C25" w:rsidP="00212C25">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212C25" w:rsidRPr="00993FBA" w:rsidRDefault="00212C25" w:rsidP="00212C25">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212C25" w:rsidRPr="00993FBA" w:rsidTr="0094006C">
              <w:trPr>
                <w:gridBefore w:val="1"/>
                <w:gridAfter w:val="2"/>
                <w:wBefore w:w="108" w:type="dxa"/>
                <w:wAfter w:w="18710" w:type="dxa"/>
                <w:cantSplit/>
                <w:trHeight w:val="1472"/>
              </w:trPr>
              <w:tc>
                <w:tcPr>
                  <w:tcW w:w="5311" w:type="dxa"/>
                  <w:tcBorders>
                    <w:top w:val="nil"/>
                    <w:left w:val="nil"/>
                    <w:bottom w:val="nil"/>
                    <w:right w:val="nil"/>
                  </w:tcBorders>
                </w:tcPr>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sidR="009243C7">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212C25" w:rsidRPr="00993FBA" w:rsidRDefault="00212C25" w:rsidP="00212C25">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212C25" w:rsidRPr="00993FBA" w:rsidRDefault="00212C25" w:rsidP="00212C25">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212C25" w:rsidRPr="00993FBA" w:rsidRDefault="00212C25" w:rsidP="00212C25">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212C25" w:rsidRDefault="00212C25" w:rsidP="00993FBA">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993FBA" w:rsidRPr="00993FBA" w:rsidRDefault="00993FBA" w:rsidP="00212C25">
            <w:pPr>
              <w:widowControl/>
              <w:spacing w:before="2"/>
              <w:ind w:right="227"/>
              <w:jc w:val="center"/>
              <w:rPr>
                <w:rFonts w:ascii="Times New Roman" w:eastAsia="TimesNewRomanPSMT" w:hAnsi="Times New Roman" w:cs="Times New Roman"/>
                <w:color w:val="auto"/>
                <w:sz w:val="28"/>
                <w:szCs w:val="28"/>
                <w:lang w:bidi="ar-SA"/>
              </w:rPr>
            </w:pPr>
            <w:bookmarkStart w:id="0" w:name="_GoBack"/>
            <w:bookmarkEnd w:id="0"/>
          </w:p>
        </w:tc>
      </w:tr>
    </w:tbl>
    <w:p w:rsidR="00993FBA" w:rsidRPr="00993FBA" w:rsidRDefault="00993FBA" w:rsidP="00993FBA">
      <w:pPr>
        <w:widowControl/>
        <w:tabs>
          <w:tab w:val="left" w:pos="1875"/>
        </w:tabs>
        <w:spacing w:line="276" w:lineRule="auto"/>
        <w:rPr>
          <w:rFonts w:ascii="Times New Roman" w:eastAsia="Times New Roman" w:hAnsi="Times New Roman" w:cs="Times New Roman"/>
          <w:color w:val="auto"/>
          <w:lang w:bidi="ar-SA"/>
        </w:rPr>
      </w:pPr>
    </w:p>
    <w:p w:rsidR="00993FBA" w:rsidRPr="00993FBA" w:rsidRDefault="00993FBA" w:rsidP="00993FBA">
      <w:pPr>
        <w:widowControl/>
        <w:tabs>
          <w:tab w:val="left" w:pos="1875"/>
        </w:tabs>
        <w:spacing w:line="276" w:lineRule="auto"/>
        <w:rPr>
          <w:rFonts w:ascii="Times New Roman" w:eastAsia="Times New Roman" w:hAnsi="Times New Roman" w:cs="Times New Roman"/>
          <w:color w:val="auto"/>
          <w:lang w:bidi="ar-SA"/>
        </w:rPr>
      </w:pPr>
    </w:p>
    <w:sectPr w:rsidR="00993FBA" w:rsidRPr="00993FBA"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91" w:rsidRDefault="00D96A91" w:rsidP="007A67AD">
      <w:r>
        <w:separator/>
      </w:r>
    </w:p>
  </w:endnote>
  <w:endnote w:type="continuationSeparator" w:id="0">
    <w:p w:rsidR="00D96A91" w:rsidRDefault="00D96A91"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91" w:rsidRDefault="00D96A91"/>
  </w:footnote>
  <w:footnote w:type="continuationSeparator" w:id="0">
    <w:p w:rsidR="00D96A91" w:rsidRDefault="00D96A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212C25"/>
    <w:rsid w:val="00274156"/>
    <w:rsid w:val="002751A4"/>
    <w:rsid w:val="00306843"/>
    <w:rsid w:val="003A1E5F"/>
    <w:rsid w:val="003D7C8C"/>
    <w:rsid w:val="00401589"/>
    <w:rsid w:val="004A0AD9"/>
    <w:rsid w:val="005A62C5"/>
    <w:rsid w:val="00612FD3"/>
    <w:rsid w:val="006F061B"/>
    <w:rsid w:val="00777164"/>
    <w:rsid w:val="007A67AD"/>
    <w:rsid w:val="007B1D9A"/>
    <w:rsid w:val="007C21D8"/>
    <w:rsid w:val="00814085"/>
    <w:rsid w:val="008B3B10"/>
    <w:rsid w:val="008D3835"/>
    <w:rsid w:val="008E2BAB"/>
    <w:rsid w:val="009243C7"/>
    <w:rsid w:val="0094006C"/>
    <w:rsid w:val="00993FBA"/>
    <w:rsid w:val="009B68B8"/>
    <w:rsid w:val="009D2DA4"/>
    <w:rsid w:val="00A657E4"/>
    <w:rsid w:val="00B237D4"/>
    <w:rsid w:val="00B67FD7"/>
    <w:rsid w:val="00B76F7B"/>
    <w:rsid w:val="00C63869"/>
    <w:rsid w:val="00D828D7"/>
    <w:rsid w:val="00D900BE"/>
    <w:rsid w:val="00D90C8B"/>
    <w:rsid w:val="00D96A91"/>
    <w:rsid w:val="00E43718"/>
    <w:rsid w:val="00EB3A0A"/>
    <w:rsid w:val="00EB451C"/>
    <w:rsid w:val="00EB521F"/>
    <w:rsid w:val="00EF3554"/>
    <w:rsid w:val="00F546C5"/>
    <w:rsid w:val="00F57DD3"/>
    <w:rsid w:val="00FB0A22"/>
    <w:rsid w:val="00FD0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F1321-D68E-46F9-9615-BE5597BF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5</Pages>
  <Words>1716</Words>
  <Characters>9786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38</cp:revision>
  <cp:lastPrinted>2023-03-30T11:34:00Z</cp:lastPrinted>
  <dcterms:created xsi:type="dcterms:W3CDTF">2023-03-10T11:38:00Z</dcterms:created>
  <dcterms:modified xsi:type="dcterms:W3CDTF">2023-04-05T06:26:00Z</dcterms:modified>
</cp:coreProperties>
</file>